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4" w:type="pct"/>
        <w:jc w:val="center"/>
        <w:tblCellSpacing w:w="15" w:type="dxa"/>
        <w:tblInd w:w="103" w:type="dxa"/>
        <w:tblCellMar>
          <w:top w:w="15" w:type="dxa"/>
          <w:left w:w="15" w:type="dxa"/>
          <w:bottom w:w="15" w:type="dxa"/>
          <w:right w:w="15" w:type="dxa"/>
        </w:tblCellMar>
        <w:tblLook w:val="04A0" w:firstRow="1" w:lastRow="0" w:firstColumn="1" w:lastColumn="0" w:noHBand="0" w:noVBand="1"/>
      </w:tblPr>
      <w:tblGrid>
        <w:gridCol w:w="15779"/>
      </w:tblGrid>
      <w:tr w:rsidR="00D915B0" w:rsidRPr="00D915B0" w:rsidTr="0008069E">
        <w:trPr>
          <w:divId w:val="99450058"/>
          <w:tblCellSpacing w:w="15" w:type="dxa"/>
          <w:jc w:val="center"/>
        </w:trPr>
        <w:tc>
          <w:tcPr>
            <w:tcW w:w="4981" w:type="pct"/>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689"/>
              <w:gridCol w:w="4165"/>
              <w:gridCol w:w="7835"/>
            </w:tblGrid>
            <w:tr w:rsidR="00D915B0" w:rsidRPr="00D915B0">
              <w:trPr>
                <w:jc w:val="center"/>
              </w:trPr>
              <w:tc>
                <w:tcPr>
                  <w:tcW w:w="0" w:type="auto"/>
                  <w:vAlign w:val="center"/>
                  <w:hideMark/>
                </w:tcPr>
                <w:p w:rsidR="00945BC5" w:rsidRPr="00D915B0" w:rsidRDefault="00A52041">
                  <w:pPr>
                    <w:rPr>
                      <w:rFonts w:ascii="Arial" w:eastAsia="Times New Roman" w:hAnsi="Arial" w:cs="Arial"/>
                      <w:sz w:val="20"/>
                      <w:szCs w:val="20"/>
                    </w:rPr>
                  </w:pPr>
                  <w:r w:rsidRPr="00D915B0">
                    <w:rPr>
                      <w:rFonts w:ascii="Arial" w:eastAsia="Times New Roman" w:hAnsi="Arial" w:cs="Arial"/>
                      <w:sz w:val="20"/>
                      <w:szCs w:val="20"/>
                    </w:rPr>
                    <w:t> </w:t>
                  </w:r>
                </w:p>
              </w:tc>
              <w:tc>
                <w:tcPr>
                  <w:tcW w:w="0" w:type="auto"/>
                  <w:tcBorders>
                    <w:top w:val="nil"/>
                    <w:left w:val="nil"/>
                    <w:bottom w:val="nil"/>
                    <w:right w:val="nil"/>
                  </w:tcBorders>
                  <w:shd w:val="clear" w:color="auto" w:fill="FFFFFF"/>
                  <w:vAlign w:val="center"/>
                  <w:hideMark/>
                </w:tcPr>
                <w:p w:rsidR="00945BC5" w:rsidRPr="00D915B0" w:rsidRDefault="00A52041">
                  <w:pPr>
                    <w:jc w:val="center"/>
                    <w:rPr>
                      <w:rFonts w:ascii="Arial" w:eastAsia="Times New Roman" w:hAnsi="Arial" w:cs="Arial"/>
                      <w:b/>
                      <w:bCs/>
                      <w:sz w:val="32"/>
                      <w:szCs w:val="32"/>
                    </w:rPr>
                  </w:pPr>
                  <w:r w:rsidRPr="00D915B0">
                    <w:rPr>
                      <w:rFonts w:ascii="Arial" w:eastAsia="Times New Roman" w:hAnsi="Arial" w:cs="Arial"/>
                      <w:b/>
                      <w:bCs/>
                      <w:sz w:val="32"/>
                      <w:szCs w:val="32"/>
                    </w:rPr>
                    <w:t>Performance Summary</w:t>
                  </w:r>
                </w:p>
              </w:tc>
              <w:tc>
                <w:tcPr>
                  <w:tcW w:w="0" w:type="auto"/>
                  <w:vAlign w:val="center"/>
                  <w:hideMark/>
                </w:tcPr>
                <w:p w:rsidR="00945BC5" w:rsidRPr="00D915B0" w:rsidRDefault="00A52041">
                  <w:pPr>
                    <w:rPr>
                      <w:rFonts w:ascii="Arial" w:eastAsia="Times New Roman" w:hAnsi="Arial" w:cs="Arial"/>
                      <w:sz w:val="20"/>
                      <w:szCs w:val="20"/>
                    </w:rPr>
                  </w:pPr>
                  <w:r w:rsidRPr="00D915B0">
                    <w:rPr>
                      <w:rFonts w:ascii="Arial" w:eastAsia="Times New Roman" w:hAnsi="Arial" w:cs="Arial"/>
                      <w:sz w:val="20"/>
                      <w:szCs w:val="20"/>
                    </w:rPr>
                    <w:t> </w:t>
                  </w:r>
                </w:p>
              </w:tc>
            </w:tr>
            <w:tr w:rsidR="00D915B0" w:rsidRPr="00D915B0">
              <w:trPr>
                <w:jc w:val="center"/>
              </w:trPr>
              <w:tc>
                <w:tcPr>
                  <w:tcW w:w="0" w:type="auto"/>
                  <w:tcBorders>
                    <w:top w:val="nil"/>
                    <w:left w:val="nil"/>
                    <w:bottom w:val="nil"/>
                    <w:right w:val="nil"/>
                  </w:tcBorders>
                  <w:shd w:val="clear" w:color="auto" w:fill="FFFFFF"/>
                  <w:vAlign w:val="center"/>
                  <w:hideMark/>
                </w:tcPr>
                <w:p w:rsidR="00945BC5" w:rsidRPr="00D915B0" w:rsidRDefault="00A52041">
                  <w:pPr>
                    <w:rPr>
                      <w:rFonts w:ascii="Arial" w:eastAsia="Times New Roman" w:hAnsi="Arial" w:cs="Arial"/>
                      <w:b/>
                      <w:bCs/>
                      <w:sz w:val="26"/>
                      <w:szCs w:val="26"/>
                    </w:rPr>
                  </w:pPr>
                  <w:r w:rsidRPr="00D915B0">
                    <w:rPr>
                      <w:rFonts w:ascii="Arial" w:eastAsia="Times New Roman" w:hAnsi="Arial" w:cs="Arial"/>
                      <w:b/>
                      <w:bCs/>
                      <w:sz w:val="26"/>
                      <w:szCs w:val="26"/>
                    </w:rPr>
                    <w:t>Green = target met</w:t>
                  </w:r>
                </w:p>
              </w:tc>
              <w:tc>
                <w:tcPr>
                  <w:tcW w:w="0" w:type="auto"/>
                  <w:tcBorders>
                    <w:top w:val="nil"/>
                    <w:left w:val="nil"/>
                    <w:bottom w:val="nil"/>
                    <w:right w:val="nil"/>
                  </w:tcBorders>
                  <w:shd w:val="clear" w:color="auto" w:fill="FFFFFF"/>
                  <w:vAlign w:val="center"/>
                  <w:hideMark/>
                </w:tcPr>
                <w:p w:rsidR="00945BC5" w:rsidRPr="00D915B0" w:rsidRDefault="00A52041">
                  <w:pPr>
                    <w:jc w:val="center"/>
                    <w:rPr>
                      <w:rFonts w:ascii="Arial" w:eastAsia="Times New Roman" w:hAnsi="Arial" w:cs="Arial"/>
                      <w:b/>
                      <w:bCs/>
                      <w:sz w:val="32"/>
                      <w:szCs w:val="32"/>
                    </w:rPr>
                  </w:pPr>
                  <w:r w:rsidRPr="00D915B0">
                    <w:rPr>
                      <w:rFonts w:ascii="Arial" w:eastAsia="Times New Roman" w:hAnsi="Arial" w:cs="Arial"/>
                      <w:b/>
                      <w:bCs/>
                      <w:sz w:val="32"/>
                      <w:szCs w:val="32"/>
                    </w:rPr>
                    <w:t>Housing Panel</w:t>
                  </w:r>
                </w:p>
              </w:tc>
              <w:tc>
                <w:tcPr>
                  <w:tcW w:w="0" w:type="auto"/>
                  <w:tcBorders>
                    <w:top w:val="nil"/>
                    <w:left w:val="nil"/>
                    <w:bottom w:val="nil"/>
                    <w:right w:val="nil"/>
                  </w:tcBorders>
                  <w:shd w:val="clear" w:color="auto" w:fill="FFFFFF"/>
                  <w:vAlign w:val="center"/>
                  <w:hideMark/>
                </w:tcPr>
                <w:p w:rsidR="00945BC5" w:rsidRPr="00D915B0" w:rsidRDefault="00A52041">
                  <w:pPr>
                    <w:jc w:val="right"/>
                    <w:rPr>
                      <w:rFonts w:ascii="Arial" w:eastAsia="Times New Roman" w:hAnsi="Arial" w:cs="Arial"/>
                      <w:b/>
                      <w:bCs/>
                      <w:sz w:val="26"/>
                      <w:szCs w:val="26"/>
                    </w:rPr>
                  </w:pPr>
                  <w:r w:rsidRPr="00D915B0">
                    <w:rPr>
                      <w:rFonts w:ascii="Arial" w:eastAsia="Times New Roman" w:hAnsi="Arial" w:cs="Arial"/>
                      <w:b/>
                      <w:bCs/>
                      <w:sz w:val="26"/>
                      <w:szCs w:val="26"/>
                    </w:rPr>
                    <w:t>Trends compare relative performance with</w:t>
                  </w:r>
                </w:p>
              </w:tc>
            </w:tr>
            <w:tr w:rsidR="00D915B0" w:rsidRPr="00D915B0">
              <w:trPr>
                <w:jc w:val="center"/>
              </w:trPr>
              <w:tc>
                <w:tcPr>
                  <w:tcW w:w="0" w:type="auto"/>
                  <w:tcBorders>
                    <w:top w:val="nil"/>
                    <w:left w:val="nil"/>
                    <w:bottom w:val="nil"/>
                    <w:right w:val="nil"/>
                  </w:tcBorders>
                  <w:shd w:val="clear" w:color="auto" w:fill="FFFFFF"/>
                  <w:vAlign w:val="center"/>
                  <w:hideMark/>
                </w:tcPr>
                <w:p w:rsidR="00945BC5" w:rsidRPr="00D915B0" w:rsidRDefault="00A52041">
                  <w:pPr>
                    <w:rPr>
                      <w:rFonts w:ascii="Arial" w:eastAsia="Times New Roman" w:hAnsi="Arial" w:cs="Arial"/>
                      <w:b/>
                      <w:bCs/>
                      <w:sz w:val="26"/>
                      <w:szCs w:val="26"/>
                    </w:rPr>
                  </w:pPr>
                  <w:r w:rsidRPr="00D915B0">
                    <w:rPr>
                      <w:rFonts w:ascii="Arial" w:eastAsia="Times New Roman" w:hAnsi="Arial" w:cs="Arial"/>
                      <w:b/>
                      <w:bCs/>
                      <w:sz w:val="26"/>
                      <w:szCs w:val="26"/>
                    </w:rPr>
                    <w:t>Amber = within tolerance</w:t>
                  </w:r>
                </w:p>
              </w:tc>
              <w:tc>
                <w:tcPr>
                  <w:tcW w:w="0" w:type="auto"/>
                  <w:vAlign w:val="center"/>
                  <w:hideMark/>
                </w:tcPr>
                <w:p w:rsidR="00945BC5" w:rsidRPr="00D915B0" w:rsidRDefault="00A52041">
                  <w:pPr>
                    <w:rPr>
                      <w:rFonts w:ascii="Arial" w:eastAsia="Times New Roman" w:hAnsi="Arial" w:cs="Arial"/>
                      <w:sz w:val="20"/>
                      <w:szCs w:val="20"/>
                    </w:rPr>
                  </w:pPr>
                  <w:r w:rsidRPr="00D915B0">
                    <w:rPr>
                      <w:rFonts w:ascii="Arial" w:eastAsia="Times New Roman" w:hAnsi="Arial" w:cs="Arial"/>
                      <w:sz w:val="20"/>
                      <w:szCs w:val="20"/>
                    </w:rPr>
                    <w:t> </w:t>
                  </w:r>
                </w:p>
              </w:tc>
              <w:tc>
                <w:tcPr>
                  <w:tcW w:w="0" w:type="auto"/>
                  <w:tcBorders>
                    <w:top w:val="nil"/>
                    <w:left w:val="nil"/>
                    <w:bottom w:val="nil"/>
                    <w:right w:val="nil"/>
                  </w:tcBorders>
                  <w:shd w:val="clear" w:color="auto" w:fill="FFFFFF"/>
                  <w:vAlign w:val="center"/>
                  <w:hideMark/>
                </w:tcPr>
                <w:p w:rsidR="00945BC5" w:rsidRPr="00D915B0" w:rsidRDefault="00A52041">
                  <w:pPr>
                    <w:jc w:val="right"/>
                    <w:rPr>
                      <w:rFonts w:ascii="Arial" w:eastAsia="Times New Roman" w:hAnsi="Arial" w:cs="Arial"/>
                      <w:b/>
                      <w:bCs/>
                      <w:sz w:val="26"/>
                      <w:szCs w:val="26"/>
                    </w:rPr>
                  </w:pPr>
                  <w:r w:rsidRPr="00D915B0">
                    <w:rPr>
                      <w:rFonts w:ascii="Arial" w:eastAsia="Times New Roman" w:hAnsi="Arial" w:cs="Arial"/>
                      <w:b/>
                      <w:bCs/>
                      <w:sz w:val="26"/>
                      <w:szCs w:val="26"/>
                    </w:rPr>
                    <w:t>Prd: previous month</w:t>
                  </w:r>
                </w:p>
              </w:tc>
            </w:tr>
            <w:tr w:rsidR="00D915B0" w:rsidRPr="00D915B0">
              <w:trPr>
                <w:jc w:val="center"/>
              </w:trPr>
              <w:tc>
                <w:tcPr>
                  <w:tcW w:w="0" w:type="auto"/>
                  <w:tcBorders>
                    <w:top w:val="nil"/>
                    <w:left w:val="nil"/>
                    <w:bottom w:val="nil"/>
                    <w:right w:val="nil"/>
                  </w:tcBorders>
                  <w:shd w:val="clear" w:color="auto" w:fill="FFFFFF"/>
                  <w:vAlign w:val="center"/>
                  <w:hideMark/>
                </w:tcPr>
                <w:p w:rsidR="00945BC5" w:rsidRPr="00D915B0" w:rsidRDefault="00A52041">
                  <w:pPr>
                    <w:rPr>
                      <w:rFonts w:ascii="Arial" w:eastAsia="Times New Roman" w:hAnsi="Arial" w:cs="Arial"/>
                      <w:b/>
                      <w:bCs/>
                      <w:sz w:val="26"/>
                      <w:szCs w:val="26"/>
                    </w:rPr>
                  </w:pPr>
                  <w:r w:rsidRPr="00D915B0">
                    <w:rPr>
                      <w:rFonts w:ascii="Arial" w:eastAsia="Times New Roman" w:hAnsi="Arial" w:cs="Arial"/>
                      <w:b/>
                      <w:bCs/>
                      <w:sz w:val="26"/>
                      <w:szCs w:val="26"/>
                    </w:rPr>
                    <w:t>Red = outside tolerance</w:t>
                  </w:r>
                </w:p>
              </w:tc>
              <w:tc>
                <w:tcPr>
                  <w:tcW w:w="0" w:type="auto"/>
                  <w:vAlign w:val="center"/>
                  <w:hideMark/>
                </w:tcPr>
                <w:p w:rsidR="00945BC5" w:rsidRPr="00D915B0" w:rsidRDefault="00A52041">
                  <w:pPr>
                    <w:rPr>
                      <w:rFonts w:ascii="Arial" w:eastAsia="Times New Roman" w:hAnsi="Arial" w:cs="Arial"/>
                      <w:sz w:val="20"/>
                      <w:szCs w:val="20"/>
                    </w:rPr>
                  </w:pPr>
                  <w:r w:rsidRPr="00D915B0">
                    <w:rPr>
                      <w:rFonts w:ascii="Arial" w:eastAsia="Times New Roman" w:hAnsi="Arial" w:cs="Arial"/>
                      <w:sz w:val="20"/>
                      <w:szCs w:val="20"/>
                    </w:rPr>
                    <w:t> </w:t>
                  </w:r>
                </w:p>
              </w:tc>
              <w:tc>
                <w:tcPr>
                  <w:tcW w:w="0" w:type="auto"/>
                  <w:tcBorders>
                    <w:top w:val="nil"/>
                    <w:left w:val="nil"/>
                    <w:bottom w:val="nil"/>
                    <w:right w:val="nil"/>
                  </w:tcBorders>
                  <w:shd w:val="clear" w:color="auto" w:fill="FFFFFF"/>
                  <w:vAlign w:val="center"/>
                  <w:hideMark/>
                </w:tcPr>
                <w:p w:rsidR="00945BC5" w:rsidRPr="00D915B0" w:rsidRDefault="00A52041">
                  <w:pPr>
                    <w:jc w:val="right"/>
                    <w:rPr>
                      <w:rFonts w:ascii="Arial" w:eastAsia="Times New Roman" w:hAnsi="Arial" w:cs="Arial"/>
                      <w:b/>
                      <w:bCs/>
                      <w:sz w:val="26"/>
                      <w:szCs w:val="26"/>
                    </w:rPr>
                  </w:pPr>
                  <w:r w:rsidRPr="00D915B0">
                    <w:rPr>
                      <w:rFonts w:ascii="Arial" w:eastAsia="Times New Roman" w:hAnsi="Arial" w:cs="Arial"/>
                      <w:b/>
                      <w:bCs/>
                      <w:sz w:val="26"/>
                      <w:szCs w:val="26"/>
                    </w:rPr>
                    <w:t> Prev Year End: previous March</w:t>
                  </w:r>
                </w:p>
              </w:tc>
            </w:tr>
            <w:tr w:rsidR="00D915B0" w:rsidRPr="00D915B0">
              <w:trPr>
                <w:jc w:val="center"/>
              </w:trPr>
              <w:tc>
                <w:tcPr>
                  <w:tcW w:w="0" w:type="auto"/>
                  <w:vAlign w:val="center"/>
                  <w:hideMark/>
                </w:tcPr>
                <w:p w:rsidR="00945BC5" w:rsidRPr="00D915B0" w:rsidRDefault="00A52041">
                  <w:pPr>
                    <w:rPr>
                      <w:rFonts w:ascii="Arial" w:eastAsia="Times New Roman" w:hAnsi="Arial" w:cs="Arial"/>
                      <w:sz w:val="20"/>
                      <w:szCs w:val="20"/>
                    </w:rPr>
                  </w:pPr>
                  <w:r w:rsidRPr="00D915B0">
                    <w:rPr>
                      <w:rFonts w:ascii="Arial" w:eastAsia="Times New Roman" w:hAnsi="Arial" w:cs="Arial"/>
                      <w:sz w:val="20"/>
                      <w:szCs w:val="20"/>
                    </w:rPr>
                    <w:t> </w:t>
                  </w:r>
                </w:p>
              </w:tc>
              <w:tc>
                <w:tcPr>
                  <w:tcW w:w="0" w:type="auto"/>
                  <w:tcBorders>
                    <w:top w:val="nil"/>
                    <w:left w:val="nil"/>
                    <w:bottom w:val="nil"/>
                    <w:right w:val="nil"/>
                  </w:tcBorders>
                  <w:shd w:val="clear" w:color="auto" w:fill="FFFFFF"/>
                  <w:vAlign w:val="center"/>
                  <w:hideMark/>
                </w:tcPr>
                <w:p w:rsidR="00945BC5" w:rsidRPr="00D915B0" w:rsidRDefault="006C6560">
                  <w:pPr>
                    <w:jc w:val="center"/>
                    <w:rPr>
                      <w:rFonts w:ascii="Arial" w:eastAsia="Times New Roman" w:hAnsi="Arial" w:cs="Arial"/>
                      <w:b/>
                      <w:bCs/>
                      <w:sz w:val="26"/>
                      <w:szCs w:val="26"/>
                    </w:rPr>
                  </w:pPr>
                  <w:r w:rsidRPr="00D915B0">
                    <w:rPr>
                      <w:rFonts w:ascii="Arial" w:eastAsia="Times New Roman" w:hAnsi="Arial" w:cs="Arial"/>
                      <w:b/>
                      <w:bCs/>
                      <w:sz w:val="26"/>
                      <w:szCs w:val="26"/>
                    </w:rPr>
                    <w:t>December</w:t>
                  </w:r>
                  <w:r w:rsidR="00A52041" w:rsidRPr="00D915B0">
                    <w:rPr>
                      <w:rFonts w:ascii="Arial" w:eastAsia="Times New Roman" w:hAnsi="Arial" w:cs="Arial"/>
                      <w:b/>
                      <w:bCs/>
                      <w:sz w:val="26"/>
                      <w:szCs w:val="26"/>
                    </w:rPr>
                    <w:t>-2018</w:t>
                  </w:r>
                </w:p>
              </w:tc>
              <w:tc>
                <w:tcPr>
                  <w:tcW w:w="0" w:type="auto"/>
                  <w:tcBorders>
                    <w:top w:val="nil"/>
                    <w:left w:val="nil"/>
                    <w:bottom w:val="nil"/>
                    <w:right w:val="nil"/>
                  </w:tcBorders>
                  <w:shd w:val="clear" w:color="auto" w:fill="FFFFFF"/>
                  <w:vAlign w:val="center"/>
                  <w:hideMark/>
                </w:tcPr>
                <w:p w:rsidR="00945BC5" w:rsidRPr="00D915B0" w:rsidRDefault="00A52041">
                  <w:pPr>
                    <w:jc w:val="right"/>
                    <w:rPr>
                      <w:rFonts w:ascii="Arial" w:eastAsia="Times New Roman" w:hAnsi="Arial" w:cs="Arial"/>
                      <w:b/>
                      <w:bCs/>
                      <w:sz w:val="26"/>
                      <w:szCs w:val="26"/>
                    </w:rPr>
                  </w:pPr>
                  <w:r w:rsidRPr="00D915B0">
                    <w:rPr>
                      <w:rFonts w:ascii="Arial" w:eastAsia="Times New Roman" w:hAnsi="Arial" w:cs="Arial"/>
                      <w:b/>
                      <w:bCs/>
                      <w:sz w:val="26"/>
                      <w:szCs w:val="26"/>
                    </w:rPr>
                    <w:t>Year on Year: the same period from the previous year</w:t>
                  </w:r>
                </w:p>
              </w:tc>
            </w:tr>
          </w:tbl>
          <w:p w:rsidR="00945BC5" w:rsidRPr="00D915B0" w:rsidRDefault="00945BC5">
            <w:pPr>
              <w:jc w:val="center"/>
              <w:rPr>
                <w:rFonts w:ascii="Arial" w:eastAsia="Times New Roman" w:hAnsi="Arial" w:cs="Arial"/>
                <w:vanish/>
                <w:sz w:val="20"/>
                <w:szCs w:val="20"/>
              </w:rPr>
            </w:pPr>
          </w:p>
          <w:tbl>
            <w:tblPr>
              <w:tblW w:w="15116" w:type="dxa"/>
              <w:jc w:val="center"/>
              <w:tblCellSpacing w:w="0" w:type="dxa"/>
              <w:tblCellMar>
                <w:top w:w="15" w:type="dxa"/>
                <w:left w:w="15" w:type="dxa"/>
                <w:bottom w:w="15" w:type="dxa"/>
                <w:right w:w="15" w:type="dxa"/>
              </w:tblCellMar>
              <w:tblLook w:val="04A0" w:firstRow="1" w:lastRow="0" w:firstColumn="1" w:lastColumn="0" w:noHBand="0" w:noVBand="1"/>
            </w:tblPr>
            <w:tblGrid>
              <w:gridCol w:w="900"/>
              <w:gridCol w:w="2055"/>
              <w:gridCol w:w="1065"/>
              <w:gridCol w:w="1222"/>
              <w:gridCol w:w="969"/>
              <w:gridCol w:w="933"/>
              <w:gridCol w:w="1164"/>
              <w:gridCol w:w="1214"/>
              <w:gridCol w:w="686"/>
              <w:gridCol w:w="714"/>
              <w:gridCol w:w="4194"/>
            </w:tblGrid>
            <w:tr w:rsidR="00D915B0" w:rsidRPr="00D915B0" w:rsidTr="00D915B0">
              <w:trPr>
                <w:trHeight w:val="59"/>
                <w:tblCellSpacing w:w="0" w:type="dxa"/>
                <w:jc w:val="center"/>
              </w:trPr>
              <w:tc>
                <w:tcPr>
                  <w:tcW w:w="0" w:type="auto"/>
                  <w:gridSpan w:val="2"/>
                  <w:tcBorders>
                    <w:top w:val="single" w:sz="6" w:space="0" w:color="000000"/>
                    <w:left w:val="single" w:sz="6" w:space="0" w:color="000000"/>
                    <w:bottom w:val="nil"/>
                    <w:right w:val="nil"/>
                  </w:tcBorders>
                  <w:shd w:val="clear" w:color="auto" w:fill="002060"/>
                  <w:vAlign w:val="center"/>
                  <w:hideMark/>
                </w:tcPr>
                <w:p w:rsidR="004C091A" w:rsidRPr="00D915B0" w:rsidRDefault="004C091A">
                  <w:pPr>
                    <w:rPr>
                      <w:rFonts w:ascii="Arial" w:eastAsia="Times New Roman" w:hAnsi="Arial" w:cs="Arial"/>
                      <w:b/>
                      <w:bCs/>
                    </w:rPr>
                  </w:pPr>
                  <w:r w:rsidRPr="00D915B0">
                    <w:rPr>
                      <w:rFonts w:ascii="Arial" w:eastAsia="Times New Roman" w:hAnsi="Arial" w:cs="Arial"/>
                      <w:b/>
                      <w:bCs/>
                    </w:rPr>
                    <w:t>Measure</w:t>
                  </w:r>
                </w:p>
              </w:tc>
              <w:tc>
                <w:tcPr>
                  <w:tcW w:w="0" w:type="auto"/>
                  <w:vMerge w:val="restart"/>
                  <w:tcBorders>
                    <w:top w:val="single" w:sz="6" w:space="0" w:color="000000"/>
                    <w:left w:val="single" w:sz="6" w:space="0" w:color="000000"/>
                    <w:bottom w:val="nil"/>
                    <w:right w:val="nil"/>
                  </w:tcBorders>
                  <w:shd w:val="clear" w:color="auto" w:fill="002060"/>
                  <w:hideMark/>
                </w:tcPr>
                <w:p w:rsidR="004C091A" w:rsidRPr="00D915B0" w:rsidRDefault="004C091A">
                  <w:pPr>
                    <w:jc w:val="center"/>
                    <w:rPr>
                      <w:rFonts w:ascii="Arial" w:eastAsia="Times New Roman" w:hAnsi="Arial" w:cs="Arial"/>
                      <w:b/>
                      <w:bCs/>
                    </w:rPr>
                  </w:pPr>
                  <w:r w:rsidRPr="00D915B0">
                    <w:rPr>
                      <w:rFonts w:ascii="Arial" w:eastAsia="Times New Roman" w:hAnsi="Arial" w:cs="Arial"/>
                      <w:b/>
                      <w:bCs/>
                    </w:rPr>
                    <w:t>Owner</w:t>
                  </w:r>
                </w:p>
              </w:tc>
              <w:tc>
                <w:tcPr>
                  <w:tcW w:w="0" w:type="auto"/>
                  <w:vMerge w:val="restart"/>
                  <w:tcBorders>
                    <w:top w:val="single" w:sz="6" w:space="0" w:color="000000"/>
                    <w:left w:val="single" w:sz="6" w:space="0" w:color="000000"/>
                    <w:bottom w:val="nil"/>
                    <w:right w:val="nil"/>
                  </w:tcBorders>
                  <w:shd w:val="clear" w:color="auto" w:fill="002060"/>
                  <w:hideMark/>
                </w:tcPr>
                <w:p w:rsidR="004C091A" w:rsidRPr="00D915B0" w:rsidRDefault="004C091A">
                  <w:pPr>
                    <w:jc w:val="center"/>
                    <w:rPr>
                      <w:rFonts w:ascii="Arial" w:eastAsia="Times New Roman" w:hAnsi="Arial" w:cs="Arial"/>
                      <w:b/>
                      <w:bCs/>
                    </w:rPr>
                  </w:pPr>
                  <w:r w:rsidRPr="00D915B0">
                    <w:rPr>
                      <w:rFonts w:ascii="Arial" w:eastAsia="Times New Roman" w:hAnsi="Arial" w:cs="Arial"/>
                      <w:b/>
                      <w:bCs/>
                    </w:rPr>
                    <w:t>Result 2017/18</w:t>
                  </w:r>
                </w:p>
              </w:tc>
              <w:tc>
                <w:tcPr>
                  <w:tcW w:w="1902" w:type="dxa"/>
                  <w:gridSpan w:val="2"/>
                  <w:tcBorders>
                    <w:top w:val="single" w:sz="6" w:space="0" w:color="000000"/>
                    <w:left w:val="single" w:sz="6" w:space="0" w:color="000000"/>
                    <w:bottom w:val="nil"/>
                    <w:right w:val="single" w:sz="6" w:space="0" w:color="000000"/>
                  </w:tcBorders>
                  <w:shd w:val="clear" w:color="auto" w:fill="002060"/>
                </w:tcPr>
                <w:p w:rsidR="004C091A" w:rsidRPr="00D915B0" w:rsidRDefault="004C091A">
                  <w:pPr>
                    <w:jc w:val="center"/>
                    <w:rPr>
                      <w:rFonts w:ascii="Arial" w:eastAsia="Times New Roman" w:hAnsi="Arial" w:cs="Arial"/>
                      <w:b/>
                      <w:bCs/>
                    </w:rPr>
                  </w:pPr>
                  <w:r w:rsidRPr="00D915B0">
                    <w:rPr>
                      <w:rFonts w:ascii="Arial" w:eastAsia="Times New Roman" w:hAnsi="Arial" w:cs="Arial"/>
                      <w:b/>
                      <w:bCs/>
                    </w:rPr>
                    <w:t>Latest Data</w:t>
                  </w:r>
                </w:p>
              </w:tc>
              <w:tc>
                <w:tcPr>
                  <w:tcW w:w="1164" w:type="dxa"/>
                  <w:vMerge w:val="restart"/>
                  <w:tcBorders>
                    <w:top w:val="single" w:sz="6" w:space="0" w:color="000000"/>
                    <w:left w:val="single" w:sz="6" w:space="0" w:color="000000"/>
                    <w:bottom w:val="nil"/>
                    <w:right w:val="nil"/>
                  </w:tcBorders>
                  <w:shd w:val="clear" w:color="auto" w:fill="002060"/>
                  <w:hideMark/>
                </w:tcPr>
                <w:p w:rsidR="004C091A" w:rsidRPr="00D915B0" w:rsidRDefault="004C091A">
                  <w:pPr>
                    <w:jc w:val="center"/>
                    <w:rPr>
                      <w:rFonts w:ascii="Arial" w:eastAsia="Times New Roman" w:hAnsi="Arial" w:cs="Arial"/>
                      <w:b/>
                      <w:bCs/>
                    </w:rPr>
                  </w:pPr>
                  <w:r w:rsidRPr="00D915B0">
                    <w:rPr>
                      <w:rFonts w:ascii="Arial" w:eastAsia="Times New Roman" w:hAnsi="Arial" w:cs="Arial"/>
                      <w:b/>
                      <w:bCs/>
                    </w:rPr>
                    <w:t>Year End Target 2018/19</w:t>
                  </w:r>
                </w:p>
              </w:tc>
              <w:tc>
                <w:tcPr>
                  <w:tcW w:w="1199" w:type="dxa"/>
                  <w:vMerge w:val="restart"/>
                  <w:tcBorders>
                    <w:top w:val="single" w:sz="6" w:space="0" w:color="000000"/>
                    <w:left w:val="single" w:sz="6" w:space="0" w:color="000000"/>
                    <w:bottom w:val="nil"/>
                    <w:right w:val="nil"/>
                  </w:tcBorders>
                  <w:shd w:val="clear" w:color="auto" w:fill="002060"/>
                  <w:hideMark/>
                </w:tcPr>
                <w:p w:rsidR="004C091A" w:rsidRPr="00D915B0" w:rsidRDefault="004C091A">
                  <w:pPr>
                    <w:jc w:val="center"/>
                    <w:rPr>
                      <w:rFonts w:ascii="Arial" w:eastAsia="Times New Roman" w:hAnsi="Arial" w:cs="Arial"/>
                      <w:b/>
                      <w:bCs/>
                    </w:rPr>
                  </w:pPr>
                  <w:r w:rsidRPr="00D915B0">
                    <w:rPr>
                      <w:rFonts w:ascii="Arial" w:eastAsia="Times New Roman" w:hAnsi="Arial" w:cs="Arial"/>
                      <w:b/>
                      <w:bCs/>
                    </w:rPr>
                    <w:t>RAG</w:t>
                  </w:r>
                </w:p>
              </w:tc>
              <w:tc>
                <w:tcPr>
                  <w:tcW w:w="5594" w:type="dxa"/>
                  <w:gridSpan w:val="3"/>
                  <w:tcBorders>
                    <w:top w:val="single" w:sz="6" w:space="0" w:color="000000"/>
                    <w:left w:val="single" w:sz="4" w:space="0" w:color="auto"/>
                    <w:right w:val="nil"/>
                  </w:tcBorders>
                  <w:shd w:val="clear" w:color="auto" w:fill="002060"/>
                </w:tcPr>
                <w:p w:rsidR="004C091A" w:rsidRPr="00D915B0" w:rsidRDefault="004C091A">
                  <w:pPr>
                    <w:rPr>
                      <w:rFonts w:ascii="Arial" w:eastAsia="Times New Roman" w:hAnsi="Arial" w:cs="Arial"/>
                      <w:b/>
                      <w:bCs/>
                    </w:rPr>
                  </w:pPr>
                  <w:r w:rsidRPr="00D915B0">
                    <w:rPr>
                      <w:rFonts w:ascii="Arial" w:eastAsia="Times New Roman" w:hAnsi="Arial" w:cs="Arial"/>
                      <w:b/>
                      <w:bCs/>
                    </w:rPr>
                    <w:t>Comments</w:t>
                  </w:r>
                </w:p>
                <w:p w:rsidR="004C091A" w:rsidRPr="00D915B0" w:rsidRDefault="004C091A" w:rsidP="007E693C">
                  <w:pPr>
                    <w:rPr>
                      <w:rFonts w:ascii="Arial" w:eastAsia="Times New Roman" w:hAnsi="Arial" w:cs="Arial"/>
                      <w:b/>
                      <w:bCs/>
                    </w:rPr>
                  </w:pPr>
                </w:p>
              </w:tc>
            </w:tr>
            <w:tr w:rsidR="00D915B0" w:rsidRPr="00D915B0" w:rsidTr="00D915B0">
              <w:trPr>
                <w:tblCellSpacing w:w="0" w:type="dxa"/>
                <w:jc w:val="center"/>
              </w:trPr>
              <w:tc>
                <w:tcPr>
                  <w:tcW w:w="900" w:type="dxa"/>
                  <w:tcBorders>
                    <w:top w:val="single" w:sz="6" w:space="0" w:color="000000"/>
                    <w:left w:val="single" w:sz="6" w:space="0" w:color="000000"/>
                    <w:bottom w:val="nil"/>
                    <w:right w:val="nil"/>
                  </w:tcBorders>
                  <w:shd w:val="clear" w:color="auto" w:fill="002060"/>
                  <w:vAlign w:val="center"/>
                  <w:hideMark/>
                </w:tcPr>
                <w:p w:rsidR="004C091A" w:rsidRPr="00D915B0" w:rsidRDefault="004C091A">
                  <w:pPr>
                    <w:rPr>
                      <w:rFonts w:ascii="Arial" w:eastAsia="Times New Roman" w:hAnsi="Arial" w:cs="Arial"/>
                      <w:b/>
                      <w:bCs/>
                    </w:rPr>
                  </w:pPr>
                  <w:r w:rsidRPr="00D915B0">
                    <w:rPr>
                      <w:rFonts w:ascii="Arial" w:eastAsia="Times New Roman" w:hAnsi="Arial" w:cs="Arial"/>
                      <w:b/>
                      <w:bCs/>
                    </w:rPr>
                    <w:t>Ref</w:t>
                  </w:r>
                </w:p>
              </w:tc>
              <w:tc>
                <w:tcPr>
                  <w:tcW w:w="2055" w:type="dxa"/>
                  <w:tcBorders>
                    <w:top w:val="single" w:sz="6" w:space="0" w:color="000000"/>
                    <w:left w:val="single" w:sz="6" w:space="0" w:color="000000"/>
                    <w:bottom w:val="nil"/>
                    <w:right w:val="nil"/>
                  </w:tcBorders>
                  <w:shd w:val="clear" w:color="auto" w:fill="002060"/>
                  <w:vAlign w:val="center"/>
                  <w:hideMark/>
                </w:tcPr>
                <w:p w:rsidR="004C091A" w:rsidRPr="00D915B0" w:rsidRDefault="004C091A">
                  <w:pPr>
                    <w:rPr>
                      <w:rFonts w:ascii="Arial" w:eastAsia="Times New Roman" w:hAnsi="Arial" w:cs="Arial"/>
                      <w:b/>
                      <w:bCs/>
                    </w:rPr>
                  </w:pPr>
                  <w:r w:rsidRPr="00D915B0">
                    <w:rPr>
                      <w:rFonts w:ascii="Arial" w:eastAsia="Times New Roman" w:hAnsi="Arial" w:cs="Arial"/>
                      <w:b/>
                      <w:bCs/>
                    </w:rPr>
                    <w:t>Description</w:t>
                  </w:r>
                </w:p>
              </w:tc>
              <w:tc>
                <w:tcPr>
                  <w:tcW w:w="0" w:type="auto"/>
                  <w:vMerge/>
                  <w:tcBorders>
                    <w:top w:val="single" w:sz="6" w:space="0" w:color="000000"/>
                    <w:left w:val="single" w:sz="6" w:space="0" w:color="000000"/>
                    <w:bottom w:val="nil"/>
                    <w:right w:val="nil"/>
                  </w:tcBorders>
                  <w:shd w:val="clear" w:color="auto" w:fill="002060"/>
                  <w:vAlign w:val="center"/>
                  <w:hideMark/>
                </w:tcPr>
                <w:p w:rsidR="004C091A" w:rsidRPr="00D915B0" w:rsidRDefault="004C091A">
                  <w:pPr>
                    <w:rPr>
                      <w:rFonts w:ascii="Arial" w:eastAsia="Times New Roman" w:hAnsi="Arial" w:cs="Arial"/>
                      <w:b/>
                      <w:bCs/>
                    </w:rPr>
                  </w:pPr>
                </w:p>
              </w:tc>
              <w:tc>
                <w:tcPr>
                  <w:tcW w:w="0" w:type="auto"/>
                  <w:vMerge/>
                  <w:tcBorders>
                    <w:top w:val="single" w:sz="6" w:space="0" w:color="000000"/>
                    <w:left w:val="single" w:sz="6" w:space="0" w:color="000000"/>
                    <w:bottom w:val="nil"/>
                    <w:right w:val="nil"/>
                  </w:tcBorders>
                  <w:shd w:val="clear" w:color="auto" w:fill="002060"/>
                  <w:vAlign w:val="center"/>
                  <w:hideMark/>
                </w:tcPr>
                <w:p w:rsidR="004C091A" w:rsidRPr="00D915B0" w:rsidRDefault="004C091A">
                  <w:pPr>
                    <w:rPr>
                      <w:rFonts w:ascii="Arial" w:eastAsia="Times New Roman" w:hAnsi="Arial" w:cs="Arial"/>
                      <w:b/>
                      <w:bCs/>
                    </w:rPr>
                  </w:pPr>
                </w:p>
              </w:tc>
              <w:tc>
                <w:tcPr>
                  <w:tcW w:w="969" w:type="dxa"/>
                  <w:tcBorders>
                    <w:left w:val="single" w:sz="6" w:space="0" w:color="000000"/>
                    <w:bottom w:val="nil"/>
                    <w:right w:val="single" w:sz="6" w:space="0" w:color="000000"/>
                  </w:tcBorders>
                  <w:shd w:val="clear" w:color="auto" w:fill="002060"/>
                  <w:vAlign w:val="center"/>
                </w:tcPr>
                <w:p w:rsidR="004C091A" w:rsidRPr="00D915B0" w:rsidRDefault="004C091A" w:rsidP="00235A1C">
                  <w:pPr>
                    <w:jc w:val="center"/>
                    <w:rPr>
                      <w:rFonts w:ascii="Arial" w:eastAsia="Times New Roman" w:hAnsi="Arial" w:cs="Arial"/>
                      <w:b/>
                      <w:bCs/>
                    </w:rPr>
                  </w:pPr>
                  <w:r w:rsidRPr="00D915B0">
                    <w:rPr>
                      <w:rFonts w:ascii="Arial" w:eastAsia="Times New Roman" w:hAnsi="Arial" w:cs="Arial"/>
                      <w:b/>
                      <w:bCs/>
                    </w:rPr>
                    <w:t>Target</w:t>
                  </w:r>
                </w:p>
              </w:tc>
              <w:tc>
                <w:tcPr>
                  <w:tcW w:w="933" w:type="dxa"/>
                  <w:tcBorders>
                    <w:left w:val="single" w:sz="6" w:space="0" w:color="000000"/>
                    <w:bottom w:val="nil"/>
                    <w:right w:val="nil"/>
                  </w:tcBorders>
                  <w:shd w:val="clear" w:color="auto" w:fill="002060"/>
                  <w:vAlign w:val="center"/>
                  <w:hideMark/>
                </w:tcPr>
                <w:p w:rsidR="004C091A" w:rsidRPr="00D915B0" w:rsidRDefault="004C091A">
                  <w:pPr>
                    <w:jc w:val="center"/>
                    <w:rPr>
                      <w:rFonts w:ascii="Arial" w:eastAsia="Times New Roman" w:hAnsi="Arial" w:cs="Arial"/>
                      <w:b/>
                      <w:bCs/>
                    </w:rPr>
                  </w:pPr>
                  <w:r w:rsidRPr="00D915B0">
                    <w:rPr>
                      <w:rFonts w:ascii="Arial" w:eastAsia="Times New Roman" w:hAnsi="Arial" w:cs="Arial"/>
                      <w:b/>
                      <w:bCs/>
                    </w:rPr>
                    <w:t>Result</w:t>
                  </w:r>
                </w:p>
              </w:tc>
              <w:tc>
                <w:tcPr>
                  <w:tcW w:w="1164" w:type="dxa"/>
                  <w:vMerge/>
                  <w:tcBorders>
                    <w:top w:val="single" w:sz="6" w:space="0" w:color="000000"/>
                    <w:left w:val="single" w:sz="6" w:space="0" w:color="000000"/>
                    <w:bottom w:val="nil"/>
                    <w:right w:val="nil"/>
                  </w:tcBorders>
                  <w:shd w:val="clear" w:color="auto" w:fill="002060"/>
                  <w:vAlign w:val="center"/>
                  <w:hideMark/>
                </w:tcPr>
                <w:p w:rsidR="004C091A" w:rsidRPr="00D915B0" w:rsidRDefault="004C091A">
                  <w:pPr>
                    <w:rPr>
                      <w:rFonts w:ascii="Arial" w:eastAsia="Times New Roman" w:hAnsi="Arial" w:cs="Arial"/>
                      <w:b/>
                      <w:bCs/>
                    </w:rPr>
                  </w:pPr>
                </w:p>
              </w:tc>
              <w:tc>
                <w:tcPr>
                  <w:tcW w:w="1199" w:type="dxa"/>
                  <w:vMerge/>
                  <w:tcBorders>
                    <w:top w:val="single" w:sz="6" w:space="0" w:color="000000"/>
                    <w:left w:val="single" w:sz="6" w:space="0" w:color="000000"/>
                    <w:bottom w:val="nil"/>
                    <w:right w:val="nil"/>
                  </w:tcBorders>
                  <w:shd w:val="clear" w:color="auto" w:fill="002060"/>
                  <w:vAlign w:val="center"/>
                  <w:hideMark/>
                </w:tcPr>
                <w:p w:rsidR="004C091A" w:rsidRPr="00D915B0" w:rsidRDefault="004C091A">
                  <w:pPr>
                    <w:rPr>
                      <w:rFonts w:ascii="Arial" w:eastAsia="Times New Roman" w:hAnsi="Arial" w:cs="Arial"/>
                      <w:b/>
                      <w:bCs/>
                    </w:rPr>
                  </w:pPr>
                </w:p>
              </w:tc>
              <w:tc>
                <w:tcPr>
                  <w:tcW w:w="686" w:type="dxa"/>
                  <w:tcBorders>
                    <w:top w:val="single" w:sz="6" w:space="0" w:color="000000"/>
                    <w:left w:val="single" w:sz="6" w:space="0" w:color="000000"/>
                    <w:bottom w:val="nil"/>
                    <w:right w:val="nil"/>
                  </w:tcBorders>
                  <w:shd w:val="clear" w:color="auto" w:fill="002060"/>
                  <w:vAlign w:val="center"/>
                  <w:hideMark/>
                </w:tcPr>
                <w:p w:rsidR="004C091A" w:rsidRPr="00D915B0" w:rsidRDefault="004C091A">
                  <w:pPr>
                    <w:jc w:val="center"/>
                    <w:rPr>
                      <w:rFonts w:ascii="Arial" w:eastAsia="Times New Roman" w:hAnsi="Arial" w:cs="Arial"/>
                      <w:b/>
                      <w:bCs/>
                    </w:rPr>
                  </w:pPr>
                  <w:r w:rsidRPr="00D915B0">
                    <w:rPr>
                      <w:rFonts w:ascii="Arial" w:eastAsia="Times New Roman" w:hAnsi="Arial" w:cs="Arial"/>
                      <w:b/>
                      <w:bCs/>
                    </w:rPr>
                    <w:t>Prd</w:t>
                  </w:r>
                </w:p>
              </w:tc>
              <w:tc>
                <w:tcPr>
                  <w:tcW w:w="714" w:type="dxa"/>
                  <w:tcBorders>
                    <w:top w:val="single" w:sz="6" w:space="0" w:color="000000"/>
                    <w:left w:val="single" w:sz="6" w:space="0" w:color="000000"/>
                    <w:bottom w:val="nil"/>
                    <w:right w:val="nil"/>
                  </w:tcBorders>
                  <w:shd w:val="clear" w:color="auto" w:fill="002060"/>
                  <w:vAlign w:val="center"/>
                  <w:hideMark/>
                </w:tcPr>
                <w:p w:rsidR="004C091A" w:rsidRPr="00D915B0" w:rsidRDefault="004C091A">
                  <w:pPr>
                    <w:jc w:val="center"/>
                    <w:rPr>
                      <w:rFonts w:ascii="Arial" w:eastAsia="Times New Roman" w:hAnsi="Arial" w:cs="Arial"/>
                      <w:b/>
                      <w:bCs/>
                    </w:rPr>
                  </w:pPr>
                  <w:r w:rsidRPr="00D915B0">
                    <w:rPr>
                      <w:rFonts w:ascii="Arial" w:eastAsia="Times New Roman" w:hAnsi="Arial" w:cs="Arial"/>
                      <w:b/>
                      <w:bCs/>
                    </w:rPr>
                    <w:t>Prev Year  End</w:t>
                  </w:r>
                </w:p>
              </w:tc>
              <w:tc>
                <w:tcPr>
                  <w:tcW w:w="4194" w:type="dxa"/>
                  <w:tcBorders>
                    <w:left w:val="single" w:sz="4" w:space="0" w:color="auto"/>
                    <w:bottom w:val="nil"/>
                    <w:right w:val="nil"/>
                  </w:tcBorders>
                  <w:shd w:val="clear" w:color="auto" w:fill="002060"/>
                  <w:vAlign w:val="center"/>
                  <w:hideMark/>
                </w:tcPr>
                <w:p w:rsidR="004C091A" w:rsidRPr="00D915B0" w:rsidRDefault="004C091A">
                  <w:pPr>
                    <w:rPr>
                      <w:rFonts w:ascii="Arial" w:eastAsia="Times New Roman" w:hAnsi="Arial" w:cs="Arial"/>
                      <w:b/>
                      <w:bCs/>
                    </w:rPr>
                  </w:pPr>
                </w:p>
              </w:tc>
            </w:tr>
            <w:tr w:rsidR="00D915B0" w:rsidRPr="00D915B0" w:rsidTr="008C64EB">
              <w:trPr>
                <w:trHeight w:val="1001"/>
                <w:tblCellSpacing w:w="0" w:type="dxa"/>
                <w:jc w:val="center"/>
              </w:trPr>
              <w:tc>
                <w:tcPr>
                  <w:tcW w:w="900" w:type="dxa"/>
                  <w:tcBorders>
                    <w:top w:val="single" w:sz="6" w:space="0" w:color="000000"/>
                    <w:left w:val="single" w:sz="6" w:space="0" w:color="000000"/>
                    <w:bottom w:val="nil"/>
                    <w:right w:val="nil"/>
                  </w:tcBorders>
                  <w:shd w:val="clear" w:color="auto" w:fill="FFFFFF"/>
                </w:tcPr>
                <w:p w:rsidR="00C57DB5" w:rsidRPr="00D915B0" w:rsidRDefault="00C57DB5">
                  <w:pPr>
                    <w:rPr>
                      <w:rStyle w:val="htmlmarkup"/>
                      <w:rFonts w:ascii="Arial" w:eastAsia="Times New Roman" w:hAnsi="Arial" w:cs="Arial"/>
                    </w:rPr>
                  </w:pPr>
                  <w:r w:rsidRPr="00D915B0">
                    <w:rPr>
                      <w:rStyle w:val="htmlmarkup"/>
                      <w:rFonts w:ascii="Arial" w:eastAsia="Times New Roman" w:hAnsi="Arial" w:cs="Arial"/>
                    </w:rPr>
                    <w:t>HP008</w:t>
                  </w:r>
                </w:p>
              </w:tc>
              <w:tc>
                <w:tcPr>
                  <w:tcW w:w="2055" w:type="dxa"/>
                  <w:tcBorders>
                    <w:top w:val="single" w:sz="6" w:space="0" w:color="000000"/>
                    <w:left w:val="single" w:sz="6" w:space="0" w:color="000000"/>
                    <w:bottom w:val="nil"/>
                    <w:right w:val="nil"/>
                  </w:tcBorders>
                  <w:shd w:val="clear" w:color="auto" w:fill="FFFFFF"/>
                </w:tcPr>
                <w:p w:rsidR="00C57DB5" w:rsidRPr="00D915B0" w:rsidRDefault="00C57DB5">
                  <w:pPr>
                    <w:rPr>
                      <w:rFonts w:ascii="Arial" w:eastAsia="Times New Roman" w:hAnsi="Arial" w:cs="Arial"/>
                    </w:rPr>
                  </w:pPr>
                  <w:r w:rsidRPr="00D915B0">
                    <w:rPr>
                      <w:rFonts w:ascii="Arial" w:eastAsia="Times New Roman" w:hAnsi="Arial" w:cs="Arial"/>
                    </w:rPr>
                    <w:t>Number of new homes granted permission in the city</w:t>
                  </w:r>
                  <w:r w:rsidR="00514365">
                    <w:rPr>
                      <w:rFonts w:ascii="Arial" w:eastAsia="Times New Roman" w:hAnsi="Arial" w:cs="Arial"/>
                    </w:rPr>
                    <w:t>.</w:t>
                  </w:r>
                </w:p>
              </w:tc>
              <w:tc>
                <w:tcPr>
                  <w:tcW w:w="0" w:type="auto"/>
                  <w:tcBorders>
                    <w:top w:val="single" w:sz="6" w:space="0" w:color="000000"/>
                    <w:left w:val="single" w:sz="6" w:space="0" w:color="000000"/>
                    <w:bottom w:val="nil"/>
                    <w:right w:val="nil"/>
                  </w:tcBorders>
                  <w:shd w:val="clear" w:color="auto" w:fill="FFFFFF"/>
                </w:tcPr>
                <w:p w:rsidR="00C57DB5" w:rsidRPr="00D915B0" w:rsidRDefault="00C57DB5">
                  <w:pPr>
                    <w:jc w:val="center"/>
                    <w:rPr>
                      <w:rFonts w:ascii="Arial" w:eastAsia="Times New Roman" w:hAnsi="Arial" w:cs="Arial"/>
                    </w:rPr>
                  </w:pPr>
                  <w:r w:rsidRPr="00D915B0">
                    <w:rPr>
                      <w:rFonts w:ascii="Arial" w:eastAsia="Times New Roman" w:hAnsi="Arial" w:cs="Arial"/>
                    </w:rPr>
                    <w:t>Adrian Arnold</w:t>
                  </w:r>
                </w:p>
              </w:tc>
              <w:tc>
                <w:tcPr>
                  <w:tcW w:w="0" w:type="auto"/>
                  <w:tcBorders>
                    <w:top w:val="single" w:sz="6" w:space="0" w:color="000000"/>
                    <w:left w:val="single" w:sz="6" w:space="0" w:color="000000"/>
                    <w:bottom w:val="nil"/>
                    <w:right w:val="nil"/>
                  </w:tcBorders>
                  <w:shd w:val="clear" w:color="auto" w:fill="C0C0C0"/>
                </w:tcPr>
                <w:p w:rsidR="00C57DB5" w:rsidRPr="00D915B0" w:rsidRDefault="00C57DB5">
                  <w:pPr>
                    <w:jc w:val="center"/>
                    <w:rPr>
                      <w:rFonts w:ascii="Arial" w:eastAsia="Times New Roman" w:hAnsi="Arial" w:cs="Arial"/>
                    </w:rPr>
                  </w:pPr>
                  <w:r w:rsidRPr="00D915B0">
                    <w:rPr>
                      <w:rFonts w:ascii="Arial" w:eastAsia="Times New Roman" w:hAnsi="Arial" w:cs="Arial"/>
                    </w:rPr>
                    <w:t>721 Number</w:t>
                  </w:r>
                </w:p>
              </w:tc>
              <w:tc>
                <w:tcPr>
                  <w:tcW w:w="969" w:type="dxa"/>
                  <w:tcBorders>
                    <w:top w:val="single" w:sz="6" w:space="0" w:color="000000"/>
                    <w:left w:val="single" w:sz="6" w:space="0" w:color="000000"/>
                    <w:bottom w:val="nil"/>
                    <w:right w:val="single" w:sz="6" w:space="0" w:color="000000"/>
                  </w:tcBorders>
                  <w:shd w:val="clear" w:color="auto" w:fill="FFFFFF"/>
                </w:tcPr>
                <w:p w:rsidR="00C57DB5" w:rsidRPr="00D915B0" w:rsidRDefault="00C57DB5">
                  <w:pPr>
                    <w:jc w:val="center"/>
                    <w:rPr>
                      <w:rFonts w:ascii="Arial" w:eastAsia="Times New Roman" w:hAnsi="Arial" w:cs="Arial"/>
                    </w:rPr>
                  </w:pPr>
                  <w:r w:rsidRPr="00D915B0">
                    <w:rPr>
                      <w:rFonts w:ascii="Arial" w:eastAsia="Times New Roman" w:hAnsi="Arial" w:cs="Arial"/>
                    </w:rPr>
                    <w:t>300 Number</w:t>
                  </w:r>
                </w:p>
              </w:tc>
              <w:tc>
                <w:tcPr>
                  <w:tcW w:w="933" w:type="dxa"/>
                  <w:tcBorders>
                    <w:top w:val="single" w:sz="6" w:space="0" w:color="000000"/>
                    <w:left w:val="single" w:sz="6" w:space="0" w:color="000000"/>
                    <w:bottom w:val="nil"/>
                    <w:right w:val="single" w:sz="6" w:space="0" w:color="000000"/>
                  </w:tcBorders>
                  <w:shd w:val="clear" w:color="auto" w:fill="FFFFFF"/>
                </w:tcPr>
                <w:p w:rsidR="00C57DB5" w:rsidRPr="00D915B0" w:rsidRDefault="00C57DB5">
                  <w:pPr>
                    <w:jc w:val="center"/>
                    <w:rPr>
                      <w:rFonts w:ascii="Arial" w:eastAsia="Times New Roman" w:hAnsi="Arial" w:cs="Arial"/>
                    </w:rPr>
                  </w:pPr>
                  <w:r w:rsidRPr="00D915B0">
                    <w:rPr>
                      <w:rFonts w:ascii="Arial" w:eastAsia="Times New Roman" w:hAnsi="Arial" w:cs="Arial"/>
                    </w:rPr>
                    <w:t>151 Number</w:t>
                  </w:r>
                </w:p>
              </w:tc>
              <w:tc>
                <w:tcPr>
                  <w:tcW w:w="1164" w:type="dxa"/>
                  <w:tcBorders>
                    <w:top w:val="single" w:sz="6" w:space="0" w:color="000000"/>
                    <w:left w:val="single" w:sz="6" w:space="0" w:color="000000"/>
                    <w:bottom w:val="nil"/>
                    <w:right w:val="nil"/>
                  </w:tcBorders>
                  <w:shd w:val="clear" w:color="auto" w:fill="C0C0C0"/>
                </w:tcPr>
                <w:p w:rsidR="00C57DB5" w:rsidRPr="00D915B0" w:rsidRDefault="00C57DB5">
                  <w:pPr>
                    <w:jc w:val="center"/>
                    <w:rPr>
                      <w:rFonts w:ascii="Arial" w:eastAsia="Times New Roman" w:hAnsi="Arial" w:cs="Arial"/>
                    </w:rPr>
                  </w:pPr>
                  <w:r w:rsidRPr="00D915B0">
                    <w:rPr>
                      <w:rFonts w:ascii="Arial" w:eastAsia="Times New Roman" w:hAnsi="Arial" w:cs="Arial"/>
                    </w:rPr>
                    <w:t>400 Number</w:t>
                  </w:r>
                </w:p>
              </w:tc>
              <w:tc>
                <w:tcPr>
                  <w:tcW w:w="1199" w:type="dxa"/>
                  <w:tcBorders>
                    <w:top w:val="single" w:sz="6" w:space="0" w:color="000000"/>
                    <w:left w:val="single" w:sz="6" w:space="0" w:color="000000"/>
                    <w:bottom w:val="nil"/>
                    <w:right w:val="nil"/>
                  </w:tcBorders>
                  <w:shd w:val="clear" w:color="auto" w:fill="FF0000"/>
                  <w:noWrap/>
                </w:tcPr>
                <w:p w:rsidR="00C57DB5" w:rsidRPr="00D915B0" w:rsidRDefault="00C57DB5">
                  <w:pPr>
                    <w:jc w:val="center"/>
                    <w:rPr>
                      <w:rFonts w:ascii="Arial" w:eastAsia="Times New Roman" w:hAnsi="Arial" w:cs="Arial"/>
                      <w:b/>
                      <w:bCs/>
                    </w:rPr>
                  </w:pPr>
                  <w:r w:rsidRPr="00D915B0">
                    <w:rPr>
                      <w:rFonts w:ascii="Arial" w:eastAsia="Times New Roman" w:hAnsi="Arial" w:cs="Arial"/>
                      <w:b/>
                      <w:bCs/>
                    </w:rPr>
                    <w:t>R</w:t>
                  </w:r>
                </w:p>
              </w:tc>
              <w:tc>
                <w:tcPr>
                  <w:tcW w:w="686" w:type="dxa"/>
                  <w:tcBorders>
                    <w:top w:val="single" w:sz="6" w:space="0" w:color="000000"/>
                    <w:left w:val="single" w:sz="6" w:space="0" w:color="000000"/>
                    <w:bottom w:val="nil"/>
                    <w:right w:val="nil"/>
                  </w:tcBorders>
                  <w:shd w:val="clear" w:color="auto" w:fill="FFFFFF"/>
                </w:tcPr>
                <w:p w:rsidR="00C57DB5" w:rsidRPr="00D915B0" w:rsidRDefault="00C57DB5">
                  <w:pPr>
                    <w:jc w:val="center"/>
                    <w:rPr>
                      <w:rFonts w:ascii="Arial" w:eastAsia="Times New Roman" w:hAnsi="Arial" w:cs="Arial"/>
                      <w:noProof/>
                    </w:rPr>
                  </w:pPr>
                  <w:r w:rsidRPr="00D915B0">
                    <w:rPr>
                      <w:rFonts w:ascii="Arial" w:eastAsia="Times New Roman" w:hAnsi="Arial" w:cs="Arial"/>
                      <w:noProof/>
                    </w:rPr>
                    <w:drawing>
                      <wp:inline distT="0" distB="0" distL="0" distR="0" wp14:anchorId="77E9835E" wp14:editId="5461B584">
                        <wp:extent cx="164465" cy="164465"/>
                        <wp:effectExtent l="0" t="0" r="698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7DB5" w:rsidRPr="00D915B0" w:rsidRDefault="00C57DB5">
                  <w:pPr>
                    <w:jc w:val="center"/>
                    <w:rPr>
                      <w:rFonts w:ascii="Arial" w:eastAsia="Times New Roman" w:hAnsi="Arial" w:cs="Arial"/>
                      <w:noProof/>
                    </w:rPr>
                  </w:pPr>
                  <w:r w:rsidRPr="00D915B0">
                    <w:rPr>
                      <w:rFonts w:ascii="Arial" w:eastAsia="Times New Roman" w:hAnsi="Arial" w:cs="Arial"/>
                      <w:noProof/>
                    </w:rPr>
                    <w:drawing>
                      <wp:inline distT="0" distB="0" distL="0" distR="0" wp14:anchorId="437D7945" wp14:editId="3FA2309F">
                        <wp:extent cx="164465" cy="164465"/>
                        <wp:effectExtent l="0" t="0" r="698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194" w:type="dxa"/>
                  <w:tcBorders>
                    <w:top w:val="single" w:sz="6" w:space="0" w:color="000000"/>
                    <w:left w:val="single" w:sz="6" w:space="0" w:color="000000"/>
                    <w:bottom w:val="nil"/>
                    <w:right w:val="nil"/>
                  </w:tcBorders>
                  <w:shd w:val="clear" w:color="auto" w:fill="FFFFFF"/>
                </w:tcPr>
                <w:p w:rsidR="0008069E" w:rsidRPr="00460C0E" w:rsidRDefault="00C64880" w:rsidP="00106F3A">
                  <w:pPr>
                    <w:rPr>
                      <w:rFonts w:ascii="Arial" w:eastAsia="Times New Roman" w:hAnsi="Arial" w:cs="Arial"/>
                      <w:sz w:val="21"/>
                      <w:szCs w:val="21"/>
                    </w:rPr>
                  </w:pPr>
                  <w:r w:rsidRPr="00460C0E">
                    <w:rPr>
                      <w:rFonts w:ascii="Arial" w:eastAsia="Times New Roman" w:hAnsi="Arial" w:cs="Arial"/>
                      <w:sz w:val="21"/>
                      <w:szCs w:val="21"/>
                    </w:rPr>
                    <w:t>Consists of 13 C3.</w:t>
                  </w:r>
                  <w:r w:rsidR="00460C0E" w:rsidRPr="00460C0E">
                    <w:rPr>
                      <w:rFonts w:ascii="Arial" w:eastAsia="Times New Roman" w:hAnsi="Arial" w:cs="Arial"/>
                      <w:sz w:val="21"/>
                      <w:szCs w:val="21"/>
                    </w:rPr>
                    <w:t xml:space="preserve"> </w:t>
                  </w:r>
                  <w:r w:rsidR="0008069E" w:rsidRPr="00460C0E">
                    <w:rPr>
                      <w:rFonts w:ascii="Arial" w:eastAsia="Times New Roman" w:hAnsi="Arial" w:cs="Arial"/>
                      <w:sz w:val="21"/>
                      <w:szCs w:val="21"/>
                    </w:rPr>
                    <w:t>The figure for the number of new homes granted permission in the City is lower than expected but this does not take into account recent approvals granted for the Council Housing Company’s sites (43 new homes in Rose Hill) and Land North of Littlemore Health Club (17/03050/FUL) (141 new homes). The issuing of these decisions will put us on course for reaching the target by 1st April.</w:t>
                  </w:r>
                </w:p>
              </w:tc>
            </w:tr>
          </w:tbl>
          <w:tbl>
            <w:tblPr>
              <w:tblW w:w="15116" w:type="dxa"/>
              <w:jc w:val="center"/>
              <w:tblCellSpacing w:w="0" w:type="dxa"/>
              <w:tblCellMar>
                <w:top w:w="15" w:type="dxa"/>
                <w:left w:w="15" w:type="dxa"/>
                <w:bottom w:w="15" w:type="dxa"/>
                <w:right w:w="15" w:type="dxa"/>
              </w:tblCellMar>
              <w:tblLook w:val="04A0" w:firstRow="1" w:lastRow="0" w:firstColumn="1" w:lastColumn="0" w:noHBand="0" w:noVBand="1"/>
            </w:tblPr>
            <w:tblGrid>
              <w:gridCol w:w="900"/>
              <w:gridCol w:w="2055"/>
              <w:gridCol w:w="1158"/>
              <w:gridCol w:w="1144"/>
              <w:gridCol w:w="969"/>
              <w:gridCol w:w="933"/>
              <w:gridCol w:w="1164"/>
              <w:gridCol w:w="1199"/>
              <w:gridCol w:w="686"/>
              <w:gridCol w:w="714"/>
              <w:gridCol w:w="4194"/>
            </w:tblGrid>
            <w:tr w:rsidR="00D915B0" w:rsidRPr="00D915B0" w:rsidTr="00514365">
              <w:trPr>
                <w:divId w:val="99450058"/>
                <w:trHeight w:val="83"/>
                <w:tblCellSpacing w:w="0" w:type="dxa"/>
                <w:jc w:val="center"/>
              </w:trPr>
              <w:tc>
                <w:tcPr>
                  <w:tcW w:w="900" w:type="dxa"/>
                  <w:tcBorders>
                    <w:top w:val="single" w:sz="6" w:space="0" w:color="000000"/>
                    <w:left w:val="single" w:sz="6" w:space="0" w:color="000000"/>
                    <w:bottom w:val="single" w:sz="6" w:space="0" w:color="000000"/>
                    <w:right w:val="nil"/>
                  </w:tcBorders>
                  <w:shd w:val="clear" w:color="auto" w:fill="auto"/>
                  <w:vAlign w:val="center"/>
                </w:tcPr>
                <w:p w:rsidR="00D915B0" w:rsidRPr="00D915B0" w:rsidRDefault="00D915B0" w:rsidP="00700289">
                  <w:pPr>
                    <w:rPr>
                      <w:rFonts w:ascii="Arial" w:eastAsia="Times New Roman" w:hAnsi="Arial" w:cs="Arial"/>
                      <w:bCs/>
                    </w:rPr>
                  </w:pPr>
                  <w:r w:rsidRPr="00D915B0">
                    <w:rPr>
                      <w:rFonts w:ascii="Arial" w:eastAsia="Times New Roman" w:hAnsi="Arial" w:cs="Arial"/>
                      <w:bCs/>
                    </w:rPr>
                    <w:t>BV066a</w:t>
                  </w:r>
                </w:p>
              </w:tc>
              <w:tc>
                <w:tcPr>
                  <w:tcW w:w="2055" w:type="dxa"/>
                  <w:tcBorders>
                    <w:top w:val="single" w:sz="6" w:space="0" w:color="000000"/>
                    <w:left w:val="single" w:sz="6" w:space="0" w:color="000000"/>
                    <w:bottom w:val="single" w:sz="6" w:space="0" w:color="000000"/>
                    <w:right w:val="nil"/>
                  </w:tcBorders>
                  <w:shd w:val="clear" w:color="auto" w:fill="auto"/>
                  <w:vAlign w:val="center"/>
                </w:tcPr>
                <w:p w:rsidR="00D915B0" w:rsidRPr="00D915B0" w:rsidRDefault="00D915B0" w:rsidP="00700289">
                  <w:pPr>
                    <w:rPr>
                      <w:rFonts w:ascii="Arial" w:eastAsia="Times New Roman" w:hAnsi="Arial" w:cs="Arial"/>
                      <w:bCs/>
                    </w:rPr>
                  </w:pPr>
                  <w:r w:rsidRPr="00D915B0">
                    <w:rPr>
                      <w:rFonts w:ascii="Arial" w:eastAsia="Times New Roman" w:hAnsi="Arial" w:cs="Arial"/>
                      <w:bCs/>
                    </w:rPr>
                    <w:t>Percentage of rent collected</w:t>
                  </w:r>
                  <w:r w:rsidR="00514365">
                    <w:rPr>
                      <w:rFonts w:ascii="Arial" w:eastAsia="Times New Roman" w:hAnsi="Arial" w:cs="Arial"/>
                      <w:bCs/>
                    </w:rPr>
                    <w:t>.</w:t>
                  </w:r>
                </w:p>
              </w:tc>
              <w:tc>
                <w:tcPr>
                  <w:tcW w:w="1158" w:type="dxa"/>
                  <w:tcBorders>
                    <w:top w:val="single" w:sz="6" w:space="0" w:color="000000"/>
                    <w:left w:val="single" w:sz="6" w:space="0" w:color="000000"/>
                    <w:bottom w:val="single" w:sz="6" w:space="0" w:color="000000"/>
                    <w:right w:val="nil"/>
                  </w:tcBorders>
                  <w:shd w:val="clear" w:color="auto" w:fill="auto"/>
                  <w:vAlign w:val="center"/>
                </w:tcPr>
                <w:p w:rsidR="00D915B0" w:rsidRPr="00D915B0" w:rsidRDefault="00D915B0" w:rsidP="00700289">
                  <w:pPr>
                    <w:rPr>
                      <w:rFonts w:ascii="Arial" w:eastAsia="Times New Roman" w:hAnsi="Arial" w:cs="Arial"/>
                      <w:bCs/>
                    </w:rPr>
                  </w:pPr>
                  <w:r w:rsidRPr="00D915B0">
                    <w:rPr>
                      <w:rFonts w:ascii="Arial" w:eastAsia="Times New Roman" w:hAnsi="Arial" w:cs="Arial"/>
                      <w:bCs/>
                    </w:rPr>
                    <w:t>Tanya Bandekar</w:t>
                  </w:r>
                </w:p>
              </w:tc>
              <w:tc>
                <w:tcPr>
                  <w:tcW w:w="114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D915B0" w:rsidRPr="00D915B0" w:rsidRDefault="00D915B0" w:rsidP="00700289">
                  <w:pPr>
                    <w:rPr>
                      <w:rFonts w:ascii="Arial" w:eastAsia="Times New Roman" w:hAnsi="Arial" w:cs="Arial"/>
                      <w:bCs/>
                    </w:rPr>
                  </w:pPr>
                  <w:r w:rsidRPr="00D915B0">
                    <w:rPr>
                      <w:rFonts w:ascii="Arial" w:eastAsia="Times New Roman" w:hAnsi="Arial" w:cs="Arial"/>
                      <w:bCs/>
                    </w:rPr>
                    <w:t>99.42%</w:t>
                  </w:r>
                </w:p>
              </w:tc>
              <w:tc>
                <w:tcPr>
                  <w:tcW w:w="969" w:type="dxa"/>
                  <w:tcBorders>
                    <w:left w:val="single" w:sz="6" w:space="0" w:color="000000"/>
                    <w:right w:val="single" w:sz="6" w:space="0" w:color="000000"/>
                  </w:tcBorders>
                  <w:shd w:val="clear" w:color="auto" w:fill="auto"/>
                  <w:vAlign w:val="center"/>
                </w:tcPr>
                <w:p w:rsidR="00D915B0" w:rsidRPr="00D915B0" w:rsidRDefault="00D915B0" w:rsidP="00700289">
                  <w:pPr>
                    <w:jc w:val="center"/>
                    <w:rPr>
                      <w:rFonts w:ascii="Arial" w:eastAsia="Times New Roman" w:hAnsi="Arial" w:cs="Arial"/>
                      <w:bCs/>
                    </w:rPr>
                  </w:pPr>
                  <w:r>
                    <w:rPr>
                      <w:rFonts w:ascii="Arial" w:eastAsia="Times New Roman" w:hAnsi="Arial" w:cs="Arial"/>
                      <w:bCs/>
                    </w:rPr>
                    <w:t>97.21%</w:t>
                  </w:r>
                </w:p>
              </w:tc>
              <w:tc>
                <w:tcPr>
                  <w:tcW w:w="933" w:type="dxa"/>
                  <w:tcBorders>
                    <w:left w:val="single" w:sz="6" w:space="0" w:color="000000"/>
                    <w:right w:val="nil"/>
                  </w:tcBorders>
                  <w:shd w:val="clear" w:color="auto" w:fill="auto"/>
                  <w:vAlign w:val="center"/>
                </w:tcPr>
                <w:p w:rsidR="00D915B0" w:rsidRPr="00D915B0" w:rsidRDefault="00D915B0" w:rsidP="00700289">
                  <w:pPr>
                    <w:jc w:val="center"/>
                    <w:rPr>
                      <w:rFonts w:ascii="Arial" w:eastAsia="Times New Roman" w:hAnsi="Arial" w:cs="Arial"/>
                      <w:bCs/>
                    </w:rPr>
                  </w:pPr>
                  <w:r>
                    <w:rPr>
                      <w:rFonts w:ascii="Arial" w:eastAsia="Times New Roman" w:hAnsi="Arial" w:cs="Arial"/>
                      <w:bCs/>
                    </w:rPr>
                    <w:t>95.42%</w:t>
                  </w:r>
                </w:p>
              </w:tc>
              <w:tc>
                <w:tcPr>
                  <w:tcW w:w="116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D915B0" w:rsidRPr="00D915B0" w:rsidRDefault="00D915B0" w:rsidP="00700289">
                  <w:pPr>
                    <w:rPr>
                      <w:rFonts w:ascii="Arial" w:eastAsia="Times New Roman" w:hAnsi="Arial" w:cs="Arial"/>
                      <w:bCs/>
                    </w:rPr>
                  </w:pPr>
                  <w:r>
                    <w:rPr>
                      <w:rFonts w:ascii="Arial" w:eastAsia="Times New Roman" w:hAnsi="Arial" w:cs="Arial"/>
                      <w:bCs/>
                    </w:rPr>
                    <w:t>98.00%</w:t>
                  </w:r>
                </w:p>
              </w:tc>
              <w:tc>
                <w:tcPr>
                  <w:tcW w:w="1199" w:type="dxa"/>
                  <w:tcBorders>
                    <w:top w:val="single" w:sz="6" w:space="0" w:color="000000"/>
                    <w:left w:val="single" w:sz="6" w:space="0" w:color="000000"/>
                    <w:bottom w:val="single" w:sz="6" w:space="0" w:color="000000"/>
                    <w:right w:val="nil"/>
                  </w:tcBorders>
                  <w:shd w:val="clear" w:color="auto" w:fill="FF0000"/>
                  <w:vAlign w:val="center"/>
                </w:tcPr>
                <w:p w:rsidR="00D915B0" w:rsidRPr="00D915B0" w:rsidRDefault="00D915B0" w:rsidP="00700289">
                  <w:pPr>
                    <w:rPr>
                      <w:rFonts w:ascii="Arial" w:eastAsia="Times New Roman" w:hAnsi="Arial" w:cs="Arial"/>
                      <w:bCs/>
                    </w:rPr>
                  </w:pPr>
                </w:p>
              </w:tc>
              <w:tc>
                <w:tcPr>
                  <w:tcW w:w="686" w:type="dxa"/>
                  <w:tcBorders>
                    <w:top w:val="single" w:sz="6" w:space="0" w:color="000000"/>
                    <w:left w:val="single" w:sz="6" w:space="0" w:color="000000"/>
                    <w:bottom w:val="single" w:sz="6" w:space="0" w:color="000000"/>
                    <w:right w:val="nil"/>
                  </w:tcBorders>
                  <w:shd w:val="clear" w:color="auto" w:fill="auto"/>
                  <w:vAlign w:val="center"/>
                </w:tcPr>
                <w:p w:rsidR="00D915B0" w:rsidRPr="00D915B0" w:rsidRDefault="00D915B0" w:rsidP="00700289">
                  <w:pPr>
                    <w:jc w:val="center"/>
                    <w:rPr>
                      <w:rFonts w:ascii="Arial" w:eastAsia="Times New Roman" w:hAnsi="Arial" w:cs="Arial"/>
                      <w:bCs/>
                    </w:rPr>
                  </w:pPr>
                  <w:r w:rsidRPr="00D915B0">
                    <w:rPr>
                      <w:rFonts w:ascii="Arial" w:eastAsia="Times New Roman" w:hAnsi="Arial" w:cs="Arial"/>
                      <w:noProof/>
                    </w:rPr>
                    <w:drawing>
                      <wp:inline distT="0" distB="0" distL="0" distR="0" wp14:anchorId="6CBB97DC" wp14:editId="73BDC689">
                        <wp:extent cx="164465" cy="164465"/>
                        <wp:effectExtent l="0" t="0" r="698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714" w:type="dxa"/>
                  <w:tcBorders>
                    <w:top w:val="single" w:sz="6" w:space="0" w:color="000000"/>
                    <w:left w:val="single" w:sz="6" w:space="0" w:color="000000"/>
                    <w:bottom w:val="single" w:sz="6" w:space="0" w:color="000000"/>
                    <w:right w:val="nil"/>
                  </w:tcBorders>
                  <w:shd w:val="clear" w:color="auto" w:fill="auto"/>
                  <w:vAlign w:val="center"/>
                </w:tcPr>
                <w:p w:rsidR="00D915B0" w:rsidRPr="00D915B0" w:rsidRDefault="00D915B0" w:rsidP="00700289">
                  <w:pPr>
                    <w:jc w:val="center"/>
                    <w:rPr>
                      <w:rFonts w:ascii="Arial" w:eastAsia="Times New Roman" w:hAnsi="Arial" w:cs="Arial"/>
                      <w:bCs/>
                    </w:rPr>
                  </w:pPr>
                  <w:r w:rsidRPr="00D915B0">
                    <w:rPr>
                      <w:rFonts w:ascii="Arial" w:eastAsia="Times New Roman" w:hAnsi="Arial" w:cs="Arial"/>
                      <w:noProof/>
                    </w:rPr>
                    <w:drawing>
                      <wp:inline distT="0" distB="0" distL="0" distR="0" wp14:anchorId="52765A19" wp14:editId="216B5351">
                        <wp:extent cx="164465" cy="164465"/>
                        <wp:effectExtent l="0" t="0" r="698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08069E" w:rsidRPr="00460C0E" w:rsidRDefault="00460C0E" w:rsidP="00700289">
                  <w:pPr>
                    <w:rPr>
                      <w:rFonts w:ascii="Arial" w:eastAsia="Times New Roman" w:hAnsi="Arial" w:cs="Arial"/>
                      <w:bCs/>
                      <w:sz w:val="21"/>
                      <w:szCs w:val="21"/>
                    </w:rPr>
                  </w:pPr>
                  <w:r w:rsidRPr="00460C0E">
                    <w:rPr>
                      <w:rFonts w:ascii="Arial" w:eastAsia="Times New Roman" w:hAnsi="Arial" w:cs="Arial"/>
                      <w:bCs/>
                      <w:sz w:val="21"/>
                      <w:szCs w:val="21"/>
                    </w:rPr>
                    <w:t xml:space="preserve">Universal Credit Claimants continue to increase. </w:t>
                  </w:r>
                  <w:proofErr w:type="gramStart"/>
                  <w:r w:rsidRPr="00460C0E">
                    <w:rPr>
                      <w:rFonts w:ascii="Arial" w:eastAsia="Times New Roman" w:hAnsi="Arial" w:cs="Arial"/>
                      <w:bCs/>
                      <w:sz w:val="21"/>
                      <w:szCs w:val="21"/>
                    </w:rPr>
                    <w:t>waiting</w:t>
                  </w:r>
                  <w:proofErr w:type="gramEnd"/>
                  <w:r w:rsidRPr="00460C0E">
                    <w:rPr>
                      <w:rFonts w:ascii="Arial" w:eastAsia="Times New Roman" w:hAnsi="Arial" w:cs="Arial"/>
                      <w:bCs/>
                      <w:sz w:val="21"/>
                      <w:szCs w:val="21"/>
                    </w:rPr>
                    <w:t xml:space="preserve"> periods once a claim is made has also lengthened, contributing to the rise in arrears. Universal Credit Court Hearings are now becoming more or the norm, therefore we should soon start to see an improvement on gaining the requested orders we set out to obtain at court - strengthening the chances of recovering the arrears Universal Credit have created. Our Universal Credit Officer is now strategically using her position by creating strong contacts across the DWP to help assist with the unpredictable issues that arise in regards to UC Claims.</w:t>
                  </w:r>
                </w:p>
              </w:tc>
            </w:tr>
            <w:tr w:rsidR="004D4A88" w:rsidRPr="00D915B0" w:rsidTr="00514365">
              <w:trPr>
                <w:divId w:val="99450058"/>
                <w:trHeight w:val="83"/>
                <w:tblCellSpacing w:w="0" w:type="dxa"/>
                <w:jc w:val="center"/>
              </w:trPr>
              <w:tc>
                <w:tcPr>
                  <w:tcW w:w="900" w:type="dxa"/>
                  <w:tcBorders>
                    <w:top w:val="single" w:sz="6" w:space="0" w:color="000000"/>
                    <w:left w:val="single" w:sz="6" w:space="0" w:color="000000"/>
                    <w:bottom w:val="single" w:sz="6" w:space="0" w:color="000000"/>
                    <w:right w:val="nil"/>
                  </w:tcBorders>
                  <w:shd w:val="clear" w:color="auto" w:fill="auto"/>
                  <w:vAlign w:val="center"/>
                </w:tcPr>
                <w:p w:rsidR="00D915B0" w:rsidRPr="00D915B0" w:rsidRDefault="00D915B0" w:rsidP="00700289">
                  <w:pPr>
                    <w:rPr>
                      <w:rFonts w:ascii="Arial" w:eastAsia="Times New Roman" w:hAnsi="Arial" w:cs="Arial"/>
                      <w:bCs/>
                    </w:rPr>
                  </w:pPr>
                  <w:r>
                    <w:rPr>
                      <w:rFonts w:ascii="Arial" w:eastAsia="Times New Roman" w:hAnsi="Arial" w:cs="Arial"/>
                      <w:bCs/>
                    </w:rPr>
                    <w:t>HC016</w:t>
                  </w:r>
                </w:p>
              </w:tc>
              <w:tc>
                <w:tcPr>
                  <w:tcW w:w="2055" w:type="dxa"/>
                  <w:tcBorders>
                    <w:top w:val="single" w:sz="6" w:space="0" w:color="000000"/>
                    <w:left w:val="single" w:sz="6" w:space="0" w:color="000000"/>
                    <w:bottom w:val="single" w:sz="6" w:space="0" w:color="000000"/>
                    <w:right w:val="nil"/>
                  </w:tcBorders>
                  <w:shd w:val="clear" w:color="auto" w:fill="auto"/>
                  <w:vAlign w:val="center"/>
                </w:tcPr>
                <w:p w:rsidR="00D915B0" w:rsidRPr="00D915B0" w:rsidRDefault="00D915B0" w:rsidP="00700289">
                  <w:pPr>
                    <w:rPr>
                      <w:rFonts w:ascii="Arial" w:eastAsia="Times New Roman" w:hAnsi="Arial" w:cs="Arial"/>
                      <w:bCs/>
                    </w:rPr>
                  </w:pPr>
                  <w:r>
                    <w:rPr>
                      <w:rFonts w:ascii="Arial" w:eastAsia="Times New Roman" w:hAnsi="Arial" w:cs="Arial"/>
                      <w:bCs/>
                    </w:rPr>
                    <w:t>Number of affordable homes for rent delivered</w:t>
                  </w:r>
                  <w:r w:rsidR="00514365">
                    <w:rPr>
                      <w:rFonts w:ascii="Arial" w:eastAsia="Times New Roman" w:hAnsi="Arial" w:cs="Arial"/>
                      <w:bCs/>
                    </w:rPr>
                    <w:t>.</w:t>
                  </w:r>
                </w:p>
              </w:tc>
              <w:tc>
                <w:tcPr>
                  <w:tcW w:w="1158" w:type="dxa"/>
                  <w:tcBorders>
                    <w:top w:val="single" w:sz="6" w:space="0" w:color="000000"/>
                    <w:left w:val="single" w:sz="6" w:space="0" w:color="000000"/>
                    <w:bottom w:val="single" w:sz="6" w:space="0" w:color="000000"/>
                    <w:right w:val="nil"/>
                  </w:tcBorders>
                  <w:shd w:val="clear" w:color="auto" w:fill="auto"/>
                  <w:vAlign w:val="center"/>
                </w:tcPr>
                <w:p w:rsidR="00D915B0" w:rsidRPr="00D915B0" w:rsidRDefault="00D915B0" w:rsidP="00700289">
                  <w:pPr>
                    <w:rPr>
                      <w:rFonts w:ascii="Arial" w:eastAsia="Times New Roman" w:hAnsi="Arial" w:cs="Arial"/>
                      <w:bCs/>
                    </w:rPr>
                  </w:pPr>
                  <w:r>
                    <w:rPr>
                      <w:rFonts w:ascii="Arial" w:eastAsia="Times New Roman" w:hAnsi="Arial" w:cs="Arial"/>
                      <w:bCs/>
                    </w:rPr>
                    <w:t>Stephen Clarke</w:t>
                  </w:r>
                </w:p>
              </w:tc>
              <w:tc>
                <w:tcPr>
                  <w:tcW w:w="114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D915B0" w:rsidRPr="00D915B0" w:rsidRDefault="00D915B0" w:rsidP="00700289">
                  <w:pPr>
                    <w:rPr>
                      <w:rFonts w:ascii="Arial" w:eastAsia="Times New Roman" w:hAnsi="Arial" w:cs="Arial"/>
                      <w:bCs/>
                    </w:rPr>
                  </w:pPr>
                  <w:r>
                    <w:rPr>
                      <w:rFonts w:ascii="Arial" w:eastAsia="Times New Roman" w:hAnsi="Arial" w:cs="Arial"/>
                      <w:bCs/>
                    </w:rPr>
                    <w:t>27 Number</w:t>
                  </w:r>
                </w:p>
              </w:tc>
              <w:tc>
                <w:tcPr>
                  <w:tcW w:w="969" w:type="dxa"/>
                  <w:tcBorders>
                    <w:left w:val="single" w:sz="6" w:space="0" w:color="000000"/>
                    <w:right w:val="single" w:sz="6" w:space="0" w:color="000000"/>
                  </w:tcBorders>
                  <w:shd w:val="clear" w:color="auto" w:fill="auto"/>
                  <w:vAlign w:val="center"/>
                </w:tcPr>
                <w:p w:rsidR="00D915B0" w:rsidRPr="00D915B0" w:rsidRDefault="00D915B0" w:rsidP="00700289">
                  <w:pPr>
                    <w:jc w:val="center"/>
                    <w:rPr>
                      <w:rFonts w:ascii="Arial" w:eastAsia="Times New Roman" w:hAnsi="Arial" w:cs="Arial"/>
                      <w:bCs/>
                    </w:rPr>
                  </w:pPr>
                  <w:r>
                    <w:rPr>
                      <w:rFonts w:ascii="Arial" w:eastAsia="Times New Roman" w:hAnsi="Arial" w:cs="Arial"/>
                      <w:bCs/>
                    </w:rPr>
                    <w:t>95 Number</w:t>
                  </w:r>
                </w:p>
              </w:tc>
              <w:tc>
                <w:tcPr>
                  <w:tcW w:w="933" w:type="dxa"/>
                  <w:tcBorders>
                    <w:left w:val="single" w:sz="6" w:space="0" w:color="000000"/>
                    <w:right w:val="nil"/>
                  </w:tcBorders>
                  <w:shd w:val="clear" w:color="auto" w:fill="auto"/>
                  <w:vAlign w:val="center"/>
                </w:tcPr>
                <w:p w:rsidR="00D915B0" w:rsidRPr="00D915B0" w:rsidRDefault="00D915B0" w:rsidP="00700289">
                  <w:pPr>
                    <w:jc w:val="center"/>
                    <w:rPr>
                      <w:rFonts w:ascii="Arial" w:eastAsia="Times New Roman" w:hAnsi="Arial" w:cs="Arial"/>
                      <w:bCs/>
                    </w:rPr>
                  </w:pPr>
                  <w:r>
                    <w:rPr>
                      <w:rFonts w:ascii="Arial" w:eastAsia="Times New Roman" w:hAnsi="Arial" w:cs="Arial"/>
                      <w:bCs/>
                    </w:rPr>
                    <w:t>71 Number</w:t>
                  </w:r>
                </w:p>
              </w:tc>
              <w:tc>
                <w:tcPr>
                  <w:tcW w:w="116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D915B0" w:rsidRPr="00D915B0" w:rsidRDefault="00D915B0" w:rsidP="00700289">
                  <w:pPr>
                    <w:rPr>
                      <w:rFonts w:ascii="Arial" w:eastAsia="Times New Roman" w:hAnsi="Arial" w:cs="Arial"/>
                      <w:bCs/>
                    </w:rPr>
                  </w:pPr>
                  <w:r>
                    <w:rPr>
                      <w:rFonts w:ascii="Arial" w:eastAsia="Times New Roman" w:hAnsi="Arial" w:cs="Arial"/>
                      <w:bCs/>
                    </w:rPr>
                    <w:t>126 Number</w:t>
                  </w:r>
                </w:p>
              </w:tc>
              <w:tc>
                <w:tcPr>
                  <w:tcW w:w="1199" w:type="dxa"/>
                  <w:tcBorders>
                    <w:top w:val="single" w:sz="6" w:space="0" w:color="000000"/>
                    <w:left w:val="single" w:sz="6" w:space="0" w:color="000000"/>
                    <w:bottom w:val="single" w:sz="6" w:space="0" w:color="000000"/>
                    <w:right w:val="nil"/>
                  </w:tcBorders>
                  <w:shd w:val="clear" w:color="auto" w:fill="FF0000"/>
                  <w:vAlign w:val="center"/>
                </w:tcPr>
                <w:p w:rsidR="00D915B0" w:rsidRPr="00D915B0" w:rsidRDefault="00D915B0" w:rsidP="00700289">
                  <w:pPr>
                    <w:rPr>
                      <w:rFonts w:ascii="Arial" w:eastAsia="Times New Roman" w:hAnsi="Arial" w:cs="Arial"/>
                      <w:bCs/>
                    </w:rPr>
                  </w:pPr>
                </w:p>
              </w:tc>
              <w:tc>
                <w:tcPr>
                  <w:tcW w:w="686" w:type="dxa"/>
                  <w:tcBorders>
                    <w:top w:val="single" w:sz="6" w:space="0" w:color="000000"/>
                    <w:left w:val="single" w:sz="6" w:space="0" w:color="000000"/>
                    <w:bottom w:val="single" w:sz="6" w:space="0" w:color="000000"/>
                    <w:right w:val="nil"/>
                  </w:tcBorders>
                  <w:shd w:val="clear" w:color="auto" w:fill="auto"/>
                  <w:vAlign w:val="center"/>
                </w:tcPr>
                <w:p w:rsidR="00D915B0" w:rsidRPr="00D915B0" w:rsidRDefault="00D915B0" w:rsidP="00700289">
                  <w:pPr>
                    <w:jc w:val="center"/>
                    <w:rPr>
                      <w:rFonts w:ascii="Arial" w:eastAsia="Times New Roman" w:hAnsi="Arial" w:cs="Arial"/>
                      <w:bCs/>
                    </w:rPr>
                  </w:pPr>
                  <w:r>
                    <w:rPr>
                      <w:rFonts w:ascii="Arial" w:eastAsia="Times New Roman" w:hAnsi="Arial" w:cs="Arial"/>
                      <w:noProof/>
                      <w:color w:val="FFFFFF"/>
                    </w:rPr>
                    <w:drawing>
                      <wp:inline distT="0" distB="0" distL="0" distR="0" wp14:anchorId="2D6802EC" wp14:editId="0A44EFEE">
                        <wp:extent cx="201295" cy="201295"/>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714" w:type="dxa"/>
                  <w:tcBorders>
                    <w:top w:val="single" w:sz="6" w:space="0" w:color="000000"/>
                    <w:left w:val="single" w:sz="6" w:space="0" w:color="000000"/>
                    <w:bottom w:val="single" w:sz="6" w:space="0" w:color="000000"/>
                    <w:right w:val="nil"/>
                  </w:tcBorders>
                  <w:shd w:val="clear" w:color="auto" w:fill="auto"/>
                  <w:vAlign w:val="center"/>
                </w:tcPr>
                <w:p w:rsidR="00D915B0" w:rsidRPr="00D915B0" w:rsidRDefault="00D915B0" w:rsidP="00700289">
                  <w:pPr>
                    <w:jc w:val="center"/>
                    <w:rPr>
                      <w:rFonts w:ascii="Arial" w:eastAsia="Times New Roman" w:hAnsi="Arial" w:cs="Arial"/>
                      <w:bCs/>
                    </w:rPr>
                  </w:pPr>
                  <w:r w:rsidRPr="00D915B0">
                    <w:rPr>
                      <w:rFonts w:ascii="Arial" w:eastAsia="Times New Roman" w:hAnsi="Arial" w:cs="Arial"/>
                      <w:noProof/>
                    </w:rPr>
                    <w:drawing>
                      <wp:inline distT="0" distB="0" distL="0" distR="0" wp14:anchorId="11B528EC" wp14:editId="6DEFA6B2">
                        <wp:extent cx="164465" cy="164465"/>
                        <wp:effectExtent l="0" t="0" r="698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D915B0" w:rsidRPr="00460C0E" w:rsidRDefault="00D915B0" w:rsidP="00700289">
                  <w:pPr>
                    <w:rPr>
                      <w:rFonts w:ascii="Arial" w:eastAsia="Times New Roman" w:hAnsi="Arial" w:cs="Arial"/>
                      <w:bCs/>
                      <w:sz w:val="21"/>
                      <w:szCs w:val="21"/>
                    </w:rPr>
                  </w:pPr>
                  <w:r w:rsidRPr="00460C0E">
                    <w:rPr>
                      <w:rFonts w:ascii="Arial" w:eastAsia="Times New Roman" w:hAnsi="Arial" w:cs="Arial"/>
                      <w:bCs/>
                      <w:sz w:val="21"/>
                      <w:szCs w:val="21"/>
                    </w:rPr>
                    <w:t>Handover of affordable units at Barton Park will start in January 2019</w:t>
                  </w:r>
                </w:p>
                <w:p w:rsidR="0008069E" w:rsidRPr="00D915B0" w:rsidRDefault="0008069E" w:rsidP="00700289">
                  <w:pPr>
                    <w:rPr>
                      <w:rFonts w:ascii="Arial" w:eastAsia="Times New Roman" w:hAnsi="Arial" w:cs="Arial"/>
                      <w:bCs/>
                    </w:rPr>
                  </w:pPr>
                </w:p>
              </w:tc>
            </w:tr>
          </w:tbl>
          <w:tbl>
            <w:tblPr>
              <w:tblW w:w="15116" w:type="dxa"/>
              <w:jc w:val="center"/>
              <w:tblCellSpacing w:w="0" w:type="dxa"/>
              <w:tblCellMar>
                <w:top w:w="15" w:type="dxa"/>
                <w:left w:w="15" w:type="dxa"/>
                <w:bottom w:w="15" w:type="dxa"/>
                <w:right w:w="15" w:type="dxa"/>
              </w:tblCellMar>
              <w:tblLook w:val="04A0" w:firstRow="1" w:lastRow="0" w:firstColumn="1" w:lastColumn="0" w:noHBand="0" w:noVBand="1"/>
            </w:tblPr>
            <w:tblGrid>
              <w:gridCol w:w="900"/>
              <w:gridCol w:w="2055"/>
              <w:gridCol w:w="1172"/>
              <w:gridCol w:w="1115"/>
              <w:gridCol w:w="969"/>
              <w:gridCol w:w="933"/>
              <w:gridCol w:w="1164"/>
              <w:gridCol w:w="1214"/>
              <w:gridCol w:w="686"/>
              <w:gridCol w:w="714"/>
              <w:gridCol w:w="4194"/>
            </w:tblGrid>
            <w:tr w:rsidR="00D915B0" w:rsidRPr="00D915B0" w:rsidTr="00D915B0">
              <w:trPr>
                <w:trHeight w:val="59"/>
                <w:tblCellSpacing w:w="0" w:type="dxa"/>
                <w:jc w:val="center"/>
              </w:trPr>
              <w:tc>
                <w:tcPr>
                  <w:tcW w:w="0" w:type="auto"/>
                  <w:gridSpan w:val="2"/>
                  <w:tcBorders>
                    <w:top w:val="single" w:sz="6" w:space="0" w:color="000000"/>
                    <w:left w:val="single" w:sz="6" w:space="0" w:color="000000"/>
                    <w:bottom w:val="nil"/>
                    <w:right w:val="nil"/>
                  </w:tcBorders>
                  <w:shd w:val="clear" w:color="auto" w:fill="002060"/>
                  <w:vAlign w:val="center"/>
                  <w:hideMark/>
                </w:tcPr>
                <w:p w:rsidR="00C57DB5" w:rsidRPr="00D915B0" w:rsidRDefault="00C57DB5" w:rsidP="00700289">
                  <w:pPr>
                    <w:rPr>
                      <w:rFonts w:ascii="Arial" w:eastAsia="Times New Roman" w:hAnsi="Arial" w:cs="Arial"/>
                      <w:b/>
                      <w:bCs/>
                    </w:rPr>
                  </w:pPr>
                  <w:r w:rsidRPr="00D915B0">
                    <w:rPr>
                      <w:rFonts w:ascii="Arial" w:eastAsia="Times New Roman" w:hAnsi="Arial" w:cs="Arial"/>
                      <w:b/>
                      <w:bCs/>
                    </w:rPr>
                    <w:lastRenderedPageBreak/>
                    <w:t>Measure</w:t>
                  </w:r>
                </w:p>
              </w:tc>
              <w:tc>
                <w:tcPr>
                  <w:tcW w:w="0" w:type="auto"/>
                  <w:vMerge w:val="restart"/>
                  <w:tcBorders>
                    <w:top w:val="single" w:sz="6" w:space="0" w:color="000000"/>
                    <w:left w:val="single" w:sz="6" w:space="0" w:color="000000"/>
                    <w:bottom w:val="nil"/>
                    <w:right w:val="nil"/>
                  </w:tcBorders>
                  <w:shd w:val="clear" w:color="auto" w:fill="002060"/>
                  <w:hideMark/>
                </w:tcPr>
                <w:p w:rsidR="00C57DB5" w:rsidRPr="00D915B0" w:rsidRDefault="00C57DB5" w:rsidP="00700289">
                  <w:pPr>
                    <w:jc w:val="center"/>
                    <w:rPr>
                      <w:rFonts w:ascii="Arial" w:eastAsia="Times New Roman" w:hAnsi="Arial" w:cs="Arial"/>
                      <w:b/>
                      <w:bCs/>
                    </w:rPr>
                  </w:pPr>
                  <w:r w:rsidRPr="00D915B0">
                    <w:rPr>
                      <w:rFonts w:ascii="Arial" w:eastAsia="Times New Roman" w:hAnsi="Arial" w:cs="Arial"/>
                      <w:b/>
                      <w:bCs/>
                    </w:rPr>
                    <w:t>Owner</w:t>
                  </w:r>
                </w:p>
              </w:tc>
              <w:tc>
                <w:tcPr>
                  <w:tcW w:w="0" w:type="auto"/>
                  <w:vMerge w:val="restart"/>
                  <w:tcBorders>
                    <w:top w:val="single" w:sz="6" w:space="0" w:color="000000"/>
                    <w:left w:val="single" w:sz="6" w:space="0" w:color="000000"/>
                    <w:bottom w:val="nil"/>
                    <w:right w:val="nil"/>
                  </w:tcBorders>
                  <w:shd w:val="clear" w:color="auto" w:fill="002060"/>
                  <w:hideMark/>
                </w:tcPr>
                <w:p w:rsidR="00C57DB5" w:rsidRPr="00D915B0" w:rsidRDefault="00C57DB5" w:rsidP="00700289">
                  <w:pPr>
                    <w:jc w:val="center"/>
                    <w:rPr>
                      <w:rFonts w:ascii="Arial" w:eastAsia="Times New Roman" w:hAnsi="Arial" w:cs="Arial"/>
                      <w:b/>
                      <w:bCs/>
                    </w:rPr>
                  </w:pPr>
                  <w:r w:rsidRPr="00D915B0">
                    <w:rPr>
                      <w:rFonts w:ascii="Arial" w:eastAsia="Times New Roman" w:hAnsi="Arial" w:cs="Arial"/>
                      <w:b/>
                      <w:bCs/>
                    </w:rPr>
                    <w:t>Result 2017/18</w:t>
                  </w:r>
                </w:p>
              </w:tc>
              <w:tc>
                <w:tcPr>
                  <w:tcW w:w="1902" w:type="dxa"/>
                  <w:gridSpan w:val="2"/>
                  <w:tcBorders>
                    <w:top w:val="single" w:sz="6" w:space="0" w:color="000000"/>
                    <w:left w:val="single" w:sz="6" w:space="0" w:color="000000"/>
                    <w:bottom w:val="nil"/>
                    <w:right w:val="single" w:sz="6" w:space="0" w:color="000000"/>
                  </w:tcBorders>
                  <w:shd w:val="clear" w:color="auto" w:fill="002060"/>
                </w:tcPr>
                <w:p w:rsidR="00C57DB5" w:rsidRPr="00D915B0" w:rsidRDefault="00C57DB5" w:rsidP="00700289">
                  <w:pPr>
                    <w:jc w:val="center"/>
                    <w:rPr>
                      <w:rFonts w:ascii="Arial" w:eastAsia="Times New Roman" w:hAnsi="Arial" w:cs="Arial"/>
                      <w:b/>
                      <w:bCs/>
                    </w:rPr>
                  </w:pPr>
                  <w:r w:rsidRPr="00D915B0">
                    <w:rPr>
                      <w:rFonts w:ascii="Arial" w:eastAsia="Times New Roman" w:hAnsi="Arial" w:cs="Arial"/>
                      <w:b/>
                      <w:bCs/>
                    </w:rPr>
                    <w:t>Latest Data</w:t>
                  </w:r>
                </w:p>
              </w:tc>
              <w:tc>
                <w:tcPr>
                  <w:tcW w:w="1164" w:type="dxa"/>
                  <w:vMerge w:val="restart"/>
                  <w:tcBorders>
                    <w:top w:val="single" w:sz="6" w:space="0" w:color="000000"/>
                    <w:left w:val="single" w:sz="6" w:space="0" w:color="000000"/>
                    <w:bottom w:val="nil"/>
                    <w:right w:val="nil"/>
                  </w:tcBorders>
                  <w:shd w:val="clear" w:color="auto" w:fill="002060"/>
                  <w:hideMark/>
                </w:tcPr>
                <w:p w:rsidR="00C57DB5" w:rsidRPr="00D915B0" w:rsidRDefault="00C57DB5" w:rsidP="00700289">
                  <w:pPr>
                    <w:jc w:val="center"/>
                    <w:rPr>
                      <w:rFonts w:ascii="Arial" w:eastAsia="Times New Roman" w:hAnsi="Arial" w:cs="Arial"/>
                      <w:b/>
                      <w:bCs/>
                    </w:rPr>
                  </w:pPr>
                  <w:r w:rsidRPr="00D915B0">
                    <w:rPr>
                      <w:rFonts w:ascii="Arial" w:eastAsia="Times New Roman" w:hAnsi="Arial" w:cs="Arial"/>
                      <w:b/>
                      <w:bCs/>
                    </w:rPr>
                    <w:t>Year End Target 2018/19</w:t>
                  </w:r>
                </w:p>
              </w:tc>
              <w:tc>
                <w:tcPr>
                  <w:tcW w:w="1214" w:type="dxa"/>
                  <w:vMerge w:val="restart"/>
                  <w:tcBorders>
                    <w:top w:val="single" w:sz="6" w:space="0" w:color="000000"/>
                    <w:left w:val="single" w:sz="6" w:space="0" w:color="000000"/>
                    <w:bottom w:val="nil"/>
                    <w:right w:val="nil"/>
                  </w:tcBorders>
                  <w:shd w:val="clear" w:color="auto" w:fill="002060"/>
                  <w:hideMark/>
                </w:tcPr>
                <w:p w:rsidR="00C57DB5" w:rsidRPr="00D915B0" w:rsidRDefault="00C57DB5" w:rsidP="00700289">
                  <w:pPr>
                    <w:jc w:val="center"/>
                    <w:rPr>
                      <w:rFonts w:ascii="Arial" w:eastAsia="Times New Roman" w:hAnsi="Arial" w:cs="Arial"/>
                      <w:b/>
                      <w:bCs/>
                    </w:rPr>
                  </w:pPr>
                  <w:r w:rsidRPr="00D915B0">
                    <w:rPr>
                      <w:rFonts w:ascii="Arial" w:eastAsia="Times New Roman" w:hAnsi="Arial" w:cs="Arial"/>
                      <w:b/>
                      <w:bCs/>
                    </w:rPr>
                    <w:t>RAG</w:t>
                  </w:r>
                </w:p>
              </w:tc>
              <w:tc>
                <w:tcPr>
                  <w:tcW w:w="5594" w:type="dxa"/>
                  <w:gridSpan w:val="3"/>
                  <w:tcBorders>
                    <w:top w:val="single" w:sz="6" w:space="0" w:color="000000"/>
                    <w:left w:val="single" w:sz="4" w:space="0" w:color="auto"/>
                    <w:right w:val="nil"/>
                  </w:tcBorders>
                  <w:shd w:val="clear" w:color="auto" w:fill="002060"/>
                </w:tcPr>
                <w:p w:rsidR="00C57DB5" w:rsidRPr="00D915B0" w:rsidRDefault="00C57DB5" w:rsidP="00700289">
                  <w:pPr>
                    <w:rPr>
                      <w:rFonts w:ascii="Arial" w:eastAsia="Times New Roman" w:hAnsi="Arial" w:cs="Arial"/>
                      <w:b/>
                      <w:bCs/>
                    </w:rPr>
                  </w:pPr>
                  <w:r w:rsidRPr="00D915B0">
                    <w:rPr>
                      <w:rFonts w:ascii="Arial" w:eastAsia="Times New Roman" w:hAnsi="Arial" w:cs="Arial"/>
                      <w:b/>
                      <w:bCs/>
                    </w:rPr>
                    <w:t>Comments</w:t>
                  </w:r>
                </w:p>
                <w:p w:rsidR="00C57DB5" w:rsidRPr="00D915B0" w:rsidRDefault="00C57DB5" w:rsidP="00700289">
                  <w:pPr>
                    <w:rPr>
                      <w:rFonts w:ascii="Arial" w:eastAsia="Times New Roman" w:hAnsi="Arial" w:cs="Arial"/>
                      <w:b/>
                      <w:bCs/>
                    </w:rPr>
                  </w:pPr>
                </w:p>
              </w:tc>
            </w:tr>
            <w:tr w:rsidR="00D915B0" w:rsidRPr="00D915B0" w:rsidTr="00D915B0">
              <w:trPr>
                <w:tblCellSpacing w:w="0" w:type="dxa"/>
                <w:jc w:val="center"/>
              </w:trPr>
              <w:tc>
                <w:tcPr>
                  <w:tcW w:w="900" w:type="dxa"/>
                  <w:tcBorders>
                    <w:top w:val="single" w:sz="6" w:space="0" w:color="000000"/>
                    <w:left w:val="single" w:sz="6" w:space="0" w:color="000000"/>
                    <w:bottom w:val="single" w:sz="6" w:space="0" w:color="000000"/>
                    <w:right w:val="nil"/>
                  </w:tcBorders>
                  <w:shd w:val="clear" w:color="auto" w:fill="002060"/>
                  <w:vAlign w:val="center"/>
                  <w:hideMark/>
                </w:tcPr>
                <w:p w:rsidR="00C57DB5" w:rsidRPr="00D915B0" w:rsidRDefault="00C57DB5" w:rsidP="00700289">
                  <w:pPr>
                    <w:rPr>
                      <w:rFonts w:ascii="Arial" w:eastAsia="Times New Roman" w:hAnsi="Arial" w:cs="Arial"/>
                      <w:b/>
                      <w:bCs/>
                    </w:rPr>
                  </w:pPr>
                  <w:r w:rsidRPr="00D915B0">
                    <w:rPr>
                      <w:rFonts w:ascii="Arial" w:eastAsia="Times New Roman" w:hAnsi="Arial" w:cs="Arial"/>
                      <w:b/>
                      <w:bCs/>
                    </w:rPr>
                    <w:t>Ref</w:t>
                  </w:r>
                </w:p>
              </w:tc>
              <w:tc>
                <w:tcPr>
                  <w:tcW w:w="2055" w:type="dxa"/>
                  <w:tcBorders>
                    <w:top w:val="single" w:sz="6" w:space="0" w:color="000000"/>
                    <w:left w:val="single" w:sz="6" w:space="0" w:color="000000"/>
                    <w:bottom w:val="single" w:sz="6" w:space="0" w:color="000000"/>
                    <w:right w:val="nil"/>
                  </w:tcBorders>
                  <w:shd w:val="clear" w:color="auto" w:fill="002060"/>
                  <w:vAlign w:val="center"/>
                  <w:hideMark/>
                </w:tcPr>
                <w:p w:rsidR="00C57DB5" w:rsidRPr="00D915B0" w:rsidRDefault="00C57DB5" w:rsidP="00700289">
                  <w:pPr>
                    <w:rPr>
                      <w:rFonts w:ascii="Arial" w:eastAsia="Times New Roman" w:hAnsi="Arial" w:cs="Arial"/>
                      <w:b/>
                      <w:bCs/>
                    </w:rPr>
                  </w:pPr>
                  <w:r w:rsidRPr="00D915B0">
                    <w:rPr>
                      <w:rFonts w:ascii="Arial" w:eastAsia="Times New Roman" w:hAnsi="Arial" w:cs="Arial"/>
                      <w:b/>
                      <w:bCs/>
                    </w:rPr>
                    <w:t>Description</w:t>
                  </w:r>
                </w:p>
              </w:tc>
              <w:tc>
                <w:tcPr>
                  <w:tcW w:w="0" w:type="auto"/>
                  <w:vMerge/>
                  <w:tcBorders>
                    <w:top w:val="single" w:sz="6" w:space="0" w:color="000000"/>
                    <w:left w:val="single" w:sz="6" w:space="0" w:color="000000"/>
                    <w:bottom w:val="single" w:sz="6" w:space="0" w:color="000000"/>
                    <w:right w:val="nil"/>
                  </w:tcBorders>
                  <w:shd w:val="clear" w:color="auto" w:fill="002060"/>
                  <w:vAlign w:val="center"/>
                  <w:hideMark/>
                </w:tcPr>
                <w:p w:rsidR="00C57DB5" w:rsidRPr="00D915B0" w:rsidRDefault="00C57DB5" w:rsidP="00700289">
                  <w:pPr>
                    <w:rPr>
                      <w:rFonts w:ascii="Arial" w:eastAsia="Times New Roman" w:hAnsi="Arial" w:cs="Arial"/>
                      <w:b/>
                      <w:bCs/>
                    </w:rPr>
                  </w:pPr>
                </w:p>
              </w:tc>
              <w:tc>
                <w:tcPr>
                  <w:tcW w:w="0" w:type="auto"/>
                  <w:vMerge/>
                  <w:tcBorders>
                    <w:top w:val="single" w:sz="6" w:space="0" w:color="000000"/>
                    <w:left w:val="single" w:sz="6" w:space="0" w:color="000000"/>
                    <w:bottom w:val="single" w:sz="6" w:space="0" w:color="000000"/>
                    <w:right w:val="nil"/>
                  </w:tcBorders>
                  <w:shd w:val="clear" w:color="auto" w:fill="002060"/>
                  <w:vAlign w:val="center"/>
                  <w:hideMark/>
                </w:tcPr>
                <w:p w:rsidR="00C57DB5" w:rsidRPr="00D915B0" w:rsidRDefault="00C57DB5" w:rsidP="00700289">
                  <w:pPr>
                    <w:rPr>
                      <w:rFonts w:ascii="Arial" w:eastAsia="Times New Roman" w:hAnsi="Arial" w:cs="Arial"/>
                      <w:b/>
                      <w:bCs/>
                    </w:rPr>
                  </w:pPr>
                </w:p>
              </w:tc>
              <w:tc>
                <w:tcPr>
                  <w:tcW w:w="969" w:type="dxa"/>
                  <w:tcBorders>
                    <w:left w:val="single" w:sz="6" w:space="0" w:color="000000"/>
                    <w:right w:val="single" w:sz="6" w:space="0" w:color="000000"/>
                  </w:tcBorders>
                  <w:shd w:val="clear" w:color="auto" w:fill="002060"/>
                  <w:vAlign w:val="center"/>
                </w:tcPr>
                <w:p w:rsidR="00C57DB5" w:rsidRPr="00D915B0" w:rsidRDefault="00C57DB5" w:rsidP="00700289">
                  <w:pPr>
                    <w:jc w:val="center"/>
                    <w:rPr>
                      <w:rFonts w:ascii="Arial" w:eastAsia="Times New Roman" w:hAnsi="Arial" w:cs="Arial"/>
                      <w:b/>
                      <w:bCs/>
                    </w:rPr>
                  </w:pPr>
                  <w:r w:rsidRPr="00D915B0">
                    <w:rPr>
                      <w:rFonts w:ascii="Arial" w:eastAsia="Times New Roman" w:hAnsi="Arial" w:cs="Arial"/>
                      <w:b/>
                      <w:bCs/>
                    </w:rPr>
                    <w:t>Target</w:t>
                  </w:r>
                </w:p>
              </w:tc>
              <w:tc>
                <w:tcPr>
                  <w:tcW w:w="933" w:type="dxa"/>
                  <w:tcBorders>
                    <w:left w:val="single" w:sz="6" w:space="0" w:color="000000"/>
                    <w:right w:val="nil"/>
                  </w:tcBorders>
                  <w:shd w:val="clear" w:color="auto" w:fill="002060"/>
                  <w:vAlign w:val="center"/>
                  <w:hideMark/>
                </w:tcPr>
                <w:p w:rsidR="00C57DB5" w:rsidRPr="00D915B0" w:rsidRDefault="00C57DB5" w:rsidP="00700289">
                  <w:pPr>
                    <w:jc w:val="center"/>
                    <w:rPr>
                      <w:rFonts w:ascii="Arial" w:eastAsia="Times New Roman" w:hAnsi="Arial" w:cs="Arial"/>
                      <w:b/>
                      <w:bCs/>
                    </w:rPr>
                  </w:pPr>
                  <w:r w:rsidRPr="00D915B0">
                    <w:rPr>
                      <w:rFonts w:ascii="Arial" w:eastAsia="Times New Roman" w:hAnsi="Arial" w:cs="Arial"/>
                      <w:b/>
                      <w:bCs/>
                    </w:rPr>
                    <w:t>Result</w:t>
                  </w:r>
                </w:p>
              </w:tc>
              <w:tc>
                <w:tcPr>
                  <w:tcW w:w="1164" w:type="dxa"/>
                  <w:vMerge/>
                  <w:tcBorders>
                    <w:top w:val="single" w:sz="6" w:space="0" w:color="000000"/>
                    <w:left w:val="single" w:sz="6" w:space="0" w:color="000000"/>
                    <w:bottom w:val="single" w:sz="6" w:space="0" w:color="000000"/>
                    <w:right w:val="nil"/>
                  </w:tcBorders>
                  <w:shd w:val="clear" w:color="auto" w:fill="002060"/>
                  <w:vAlign w:val="center"/>
                  <w:hideMark/>
                </w:tcPr>
                <w:p w:rsidR="00C57DB5" w:rsidRPr="00D915B0" w:rsidRDefault="00C57DB5" w:rsidP="00700289">
                  <w:pPr>
                    <w:rPr>
                      <w:rFonts w:ascii="Arial" w:eastAsia="Times New Roman" w:hAnsi="Arial" w:cs="Arial"/>
                      <w:b/>
                      <w:bCs/>
                    </w:rPr>
                  </w:pPr>
                </w:p>
              </w:tc>
              <w:tc>
                <w:tcPr>
                  <w:tcW w:w="1214" w:type="dxa"/>
                  <w:vMerge/>
                  <w:tcBorders>
                    <w:top w:val="single" w:sz="6" w:space="0" w:color="000000"/>
                    <w:left w:val="single" w:sz="6" w:space="0" w:color="000000"/>
                    <w:bottom w:val="single" w:sz="6" w:space="0" w:color="000000"/>
                    <w:right w:val="nil"/>
                  </w:tcBorders>
                  <w:shd w:val="clear" w:color="auto" w:fill="002060"/>
                  <w:vAlign w:val="center"/>
                  <w:hideMark/>
                </w:tcPr>
                <w:p w:rsidR="00C57DB5" w:rsidRPr="00D915B0" w:rsidRDefault="00C57DB5" w:rsidP="00700289">
                  <w:pPr>
                    <w:rPr>
                      <w:rFonts w:ascii="Arial" w:eastAsia="Times New Roman" w:hAnsi="Arial" w:cs="Arial"/>
                      <w:b/>
                      <w:bCs/>
                    </w:rPr>
                  </w:pPr>
                </w:p>
              </w:tc>
              <w:tc>
                <w:tcPr>
                  <w:tcW w:w="686" w:type="dxa"/>
                  <w:tcBorders>
                    <w:top w:val="single" w:sz="6" w:space="0" w:color="000000"/>
                    <w:left w:val="single" w:sz="6" w:space="0" w:color="000000"/>
                    <w:bottom w:val="single" w:sz="6" w:space="0" w:color="000000"/>
                    <w:right w:val="nil"/>
                  </w:tcBorders>
                  <w:shd w:val="clear" w:color="auto" w:fill="002060"/>
                  <w:vAlign w:val="center"/>
                  <w:hideMark/>
                </w:tcPr>
                <w:p w:rsidR="00C57DB5" w:rsidRPr="00D915B0" w:rsidRDefault="00C57DB5" w:rsidP="00700289">
                  <w:pPr>
                    <w:jc w:val="center"/>
                    <w:rPr>
                      <w:rFonts w:ascii="Arial" w:eastAsia="Times New Roman" w:hAnsi="Arial" w:cs="Arial"/>
                      <w:b/>
                      <w:bCs/>
                    </w:rPr>
                  </w:pPr>
                  <w:proofErr w:type="spellStart"/>
                  <w:r w:rsidRPr="00D915B0">
                    <w:rPr>
                      <w:rFonts w:ascii="Arial" w:eastAsia="Times New Roman" w:hAnsi="Arial" w:cs="Arial"/>
                      <w:b/>
                      <w:bCs/>
                    </w:rPr>
                    <w:t>Prd</w:t>
                  </w:r>
                  <w:proofErr w:type="spellEnd"/>
                </w:p>
              </w:tc>
              <w:tc>
                <w:tcPr>
                  <w:tcW w:w="714" w:type="dxa"/>
                  <w:tcBorders>
                    <w:top w:val="single" w:sz="6" w:space="0" w:color="000000"/>
                    <w:left w:val="single" w:sz="6" w:space="0" w:color="000000"/>
                    <w:bottom w:val="single" w:sz="6" w:space="0" w:color="000000"/>
                    <w:right w:val="nil"/>
                  </w:tcBorders>
                  <w:shd w:val="clear" w:color="auto" w:fill="002060"/>
                  <w:vAlign w:val="center"/>
                  <w:hideMark/>
                </w:tcPr>
                <w:p w:rsidR="00C57DB5" w:rsidRPr="00D915B0" w:rsidRDefault="00C57DB5" w:rsidP="00700289">
                  <w:pPr>
                    <w:jc w:val="center"/>
                    <w:rPr>
                      <w:rFonts w:ascii="Arial" w:eastAsia="Times New Roman" w:hAnsi="Arial" w:cs="Arial"/>
                      <w:b/>
                      <w:bCs/>
                    </w:rPr>
                  </w:pPr>
                  <w:proofErr w:type="spellStart"/>
                  <w:r w:rsidRPr="00D915B0">
                    <w:rPr>
                      <w:rFonts w:ascii="Arial" w:eastAsia="Times New Roman" w:hAnsi="Arial" w:cs="Arial"/>
                      <w:b/>
                      <w:bCs/>
                    </w:rPr>
                    <w:t>Prev</w:t>
                  </w:r>
                  <w:proofErr w:type="spellEnd"/>
                  <w:r w:rsidRPr="00D915B0">
                    <w:rPr>
                      <w:rFonts w:ascii="Arial" w:eastAsia="Times New Roman" w:hAnsi="Arial" w:cs="Arial"/>
                      <w:b/>
                      <w:bCs/>
                    </w:rPr>
                    <w:t xml:space="preserve"> Year  End</w:t>
                  </w:r>
                </w:p>
              </w:tc>
              <w:tc>
                <w:tcPr>
                  <w:tcW w:w="4194" w:type="dxa"/>
                  <w:tcBorders>
                    <w:left w:val="single" w:sz="4" w:space="0" w:color="auto"/>
                    <w:right w:val="nil"/>
                  </w:tcBorders>
                  <w:shd w:val="clear" w:color="auto" w:fill="002060"/>
                  <w:vAlign w:val="center"/>
                  <w:hideMark/>
                </w:tcPr>
                <w:p w:rsidR="00C57DB5" w:rsidRPr="00D915B0" w:rsidRDefault="00C57DB5" w:rsidP="00700289">
                  <w:pPr>
                    <w:rPr>
                      <w:rFonts w:ascii="Arial" w:eastAsia="Times New Roman" w:hAnsi="Arial" w:cs="Arial"/>
                      <w:b/>
                      <w:bCs/>
                    </w:rPr>
                  </w:pPr>
                </w:p>
              </w:tc>
            </w:tr>
            <w:tr w:rsidR="00D915B0" w:rsidRPr="00D915B0" w:rsidTr="004D4A88">
              <w:trPr>
                <w:trHeight w:val="83"/>
                <w:tblCellSpacing w:w="0" w:type="dxa"/>
                <w:jc w:val="center"/>
              </w:trPr>
              <w:tc>
                <w:tcPr>
                  <w:tcW w:w="900" w:type="dxa"/>
                  <w:tcBorders>
                    <w:top w:val="single" w:sz="6" w:space="0" w:color="000000"/>
                    <w:left w:val="single" w:sz="6" w:space="0" w:color="000000"/>
                    <w:bottom w:val="single" w:sz="6" w:space="0" w:color="000000"/>
                    <w:right w:val="nil"/>
                  </w:tcBorders>
                  <w:shd w:val="clear" w:color="auto" w:fill="auto"/>
                  <w:vAlign w:val="center"/>
                </w:tcPr>
                <w:p w:rsidR="00D915B0" w:rsidRDefault="00D915B0" w:rsidP="00700289">
                  <w:pPr>
                    <w:rPr>
                      <w:rFonts w:ascii="Arial" w:eastAsia="Times New Roman" w:hAnsi="Arial" w:cs="Arial"/>
                      <w:bCs/>
                    </w:rPr>
                  </w:pPr>
                  <w:r>
                    <w:rPr>
                      <w:rFonts w:ascii="Arial" w:eastAsia="Times New Roman" w:hAnsi="Arial" w:cs="Arial"/>
                      <w:bCs/>
                    </w:rPr>
                    <w:t>HP003</w:t>
                  </w:r>
                </w:p>
              </w:tc>
              <w:tc>
                <w:tcPr>
                  <w:tcW w:w="2055" w:type="dxa"/>
                  <w:tcBorders>
                    <w:top w:val="single" w:sz="6" w:space="0" w:color="000000"/>
                    <w:left w:val="single" w:sz="6" w:space="0" w:color="000000"/>
                    <w:bottom w:val="single" w:sz="6" w:space="0" w:color="000000"/>
                    <w:right w:val="nil"/>
                  </w:tcBorders>
                  <w:shd w:val="clear" w:color="auto" w:fill="auto"/>
                  <w:vAlign w:val="center"/>
                </w:tcPr>
                <w:p w:rsidR="00D915B0" w:rsidRDefault="00D915B0" w:rsidP="00700289">
                  <w:pPr>
                    <w:rPr>
                      <w:rFonts w:ascii="Arial" w:eastAsia="Times New Roman" w:hAnsi="Arial" w:cs="Arial"/>
                      <w:bCs/>
                    </w:rPr>
                  </w:pPr>
                  <w:r>
                    <w:rPr>
                      <w:rFonts w:ascii="Arial" w:eastAsia="Times New Roman" w:hAnsi="Arial" w:cs="Arial"/>
                      <w:bCs/>
                    </w:rPr>
                    <w:t>The number of people estimated to be sleeping rough</w:t>
                  </w:r>
                  <w:r w:rsidR="00514365">
                    <w:rPr>
                      <w:rFonts w:ascii="Arial" w:eastAsia="Times New Roman" w:hAnsi="Arial" w:cs="Arial"/>
                      <w:bCs/>
                    </w:rPr>
                    <w:t>.</w:t>
                  </w:r>
                </w:p>
              </w:tc>
              <w:tc>
                <w:tcPr>
                  <w:tcW w:w="0" w:type="auto"/>
                  <w:tcBorders>
                    <w:top w:val="single" w:sz="6" w:space="0" w:color="000000"/>
                    <w:left w:val="single" w:sz="6" w:space="0" w:color="000000"/>
                    <w:bottom w:val="single" w:sz="6" w:space="0" w:color="000000"/>
                    <w:right w:val="nil"/>
                  </w:tcBorders>
                  <w:shd w:val="clear" w:color="auto" w:fill="auto"/>
                  <w:vAlign w:val="center"/>
                </w:tcPr>
                <w:p w:rsidR="00D915B0" w:rsidRDefault="00D915B0" w:rsidP="00700289">
                  <w:pPr>
                    <w:rPr>
                      <w:rFonts w:ascii="Arial" w:eastAsia="Times New Roman" w:hAnsi="Arial" w:cs="Arial"/>
                      <w:bCs/>
                    </w:rPr>
                  </w:pPr>
                  <w:r>
                    <w:rPr>
                      <w:rFonts w:ascii="Arial" w:eastAsia="Times New Roman" w:hAnsi="Arial" w:cs="Arial"/>
                      <w:bCs/>
                    </w:rPr>
                    <w:t>Stephen Clarke</w:t>
                  </w:r>
                </w:p>
              </w:tc>
              <w:tc>
                <w:tcPr>
                  <w:tcW w:w="0" w:type="auto"/>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D915B0" w:rsidRDefault="00D915B0" w:rsidP="00700289">
                  <w:pPr>
                    <w:rPr>
                      <w:rFonts w:ascii="Arial" w:eastAsia="Times New Roman" w:hAnsi="Arial" w:cs="Arial"/>
                      <w:bCs/>
                    </w:rPr>
                  </w:pPr>
                  <w:r>
                    <w:rPr>
                      <w:rFonts w:ascii="Arial" w:eastAsia="Times New Roman" w:hAnsi="Arial" w:cs="Arial"/>
                      <w:bCs/>
                    </w:rPr>
                    <w:t>89 Number</w:t>
                  </w:r>
                </w:p>
              </w:tc>
              <w:tc>
                <w:tcPr>
                  <w:tcW w:w="969" w:type="dxa"/>
                  <w:tcBorders>
                    <w:left w:val="single" w:sz="6" w:space="0" w:color="000000"/>
                    <w:right w:val="single" w:sz="6" w:space="0" w:color="000000"/>
                  </w:tcBorders>
                  <w:shd w:val="clear" w:color="auto" w:fill="auto"/>
                  <w:vAlign w:val="center"/>
                </w:tcPr>
                <w:p w:rsidR="00D915B0" w:rsidRDefault="00D915B0" w:rsidP="00700289">
                  <w:pPr>
                    <w:jc w:val="center"/>
                    <w:rPr>
                      <w:rFonts w:ascii="Arial" w:eastAsia="Times New Roman" w:hAnsi="Arial" w:cs="Arial"/>
                      <w:bCs/>
                    </w:rPr>
                  </w:pPr>
                  <w:r>
                    <w:rPr>
                      <w:rFonts w:ascii="Arial" w:eastAsia="Times New Roman" w:hAnsi="Arial" w:cs="Arial"/>
                      <w:bCs/>
                    </w:rPr>
                    <w:t>45 Number</w:t>
                  </w:r>
                </w:p>
              </w:tc>
              <w:tc>
                <w:tcPr>
                  <w:tcW w:w="933" w:type="dxa"/>
                  <w:tcBorders>
                    <w:left w:val="single" w:sz="6" w:space="0" w:color="000000"/>
                    <w:right w:val="nil"/>
                  </w:tcBorders>
                  <w:shd w:val="clear" w:color="auto" w:fill="auto"/>
                  <w:vAlign w:val="center"/>
                </w:tcPr>
                <w:p w:rsidR="00D915B0" w:rsidRDefault="00D915B0" w:rsidP="00700289">
                  <w:pPr>
                    <w:jc w:val="center"/>
                    <w:rPr>
                      <w:rFonts w:ascii="Arial" w:eastAsia="Times New Roman" w:hAnsi="Arial" w:cs="Arial"/>
                      <w:bCs/>
                    </w:rPr>
                  </w:pPr>
                  <w:r>
                    <w:rPr>
                      <w:rFonts w:ascii="Arial" w:eastAsia="Times New Roman" w:hAnsi="Arial" w:cs="Arial"/>
                      <w:bCs/>
                    </w:rPr>
                    <w:t>94 Number</w:t>
                  </w:r>
                </w:p>
              </w:tc>
              <w:tc>
                <w:tcPr>
                  <w:tcW w:w="116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D915B0" w:rsidRDefault="00D915B0" w:rsidP="00700289">
                  <w:pPr>
                    <w:rPr>
                      <w:rFonts w:ascii="Arial" w:eastAsia="Times New Roman" w:hAnsi="Arial" w:cs="Arial"/>
                      <w:bCs/>
                    </w:rPr>
                  </w:pPr>
                  <w:r>
                    <w:rPr>
                      <w:rFonts w:ascii="Arial" w:eastAsia="Times New Roman" w:hAnsi="Arial" w:cs="Arial"/>
                      <w:bCs/>
                    </w:rPr>
                    <w:t>45 Number</w:t>
                  </w:r>
                </w:p>
              </w:tc>
              <w:tc>
                <w:tcPr>
                  <w:tcW w:w="1214" w:type="dxa"/>
                  <w:tcBorders>
                    <w:top w:val="single" w:sz="6" w:space="0" w:color="000000"/>
                    <w:left w:val="single" w:sz="6" w:space="0" w:color="000000"/>
                    <w:bottom w:val="single" w:sz="6" w:space="0" w:color="000000"/>
                    <w:right w:val="nil"/>
                  </w:tcBorders>
                  <w:shd w:val="clear" w:color="auto" w:fill="FF0000"/>
                  <w:vAlign w:val="center"/>
                </w:tcPr>
                <w:p w:rsidR="00D915B0" w:rsidRPr="00D915B0" w:rsidRDefault="00D915B0" w:rsidP="00700289">
                  <w:pPr>
                    <w:rPr>
                      <w:rFonts w:ascii="Arial" w:eastAsia="Times New Roman" w:hAnsi="Arial" w:cs="Arial"/>
                      <w:bCs/>
                    </w:rPr>
                  </w:pPr>
                </w:p>
              </w:tc>
              <w:tc>
                <w:tcPr>
                  <w:tcW w:w="686" w:type="dxa"/>
                  <w:tcBorders>
                    <w:top w:val="single" w:sz="6" w:space="0" w:color="000000"/>
                    <w:left w:val="single" w:sz="6" w:space="0" w:color="000000"/>
                    <w:bottom w:val="single" w:sz="6" w:space="0" w:color="000000"/>
                    <w:right w:val="nil"/>
                  </w:tcBorders>
                  <w:shd w:val="clear" w:color="auto" w:fill="auto"/>
                  <w:vAlign w:val="center"/>
                </w:tcPr>
                <w:p w:rsidR="00D915B0" w:rsidRDefault="00D915B0" w:rsidP="00700289">
                  <w:pPr>
                    <w:jc w:val="center"/>
                    <w:rPr>
                      <w:rFonts w:ascii="Arial" w:eastAsia="Times New Roman" w:hAnsi="Arial" w:cs="Arial"/>
                      <w:noProof/>
                      <w:color w:val="FFFFFF"/>
                    </w:rPr>
                  </w:pPr>
                  <w:r>
                    <w:rPr>
                      <w:rFonts w:ascii="Arial" w:eastAsia="Times New Roman" w:hAnsi="Arial" w:cs="Arial"/>
                      <w:noProof/>
                      <w:color w:val="FFFFFF"/>
                    </w:rPr>
                    <w:drawing>
                      <wp:inline distT="0" distB="0" distL="0" distR="0" wp14:anchorId="7C387BBC" wp14:editId="1DEFD73B">
                        <wp:extent cx="201295" cy="201295"/>
                        <wp:effectExtent l="0" t="0" r="825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714" w:type="dxa"/>
                  <w:tcBorders>
                    <w:top w:val="single" w:sz="6" w:space="0" w:color="000000"/>
                    <w:left w:val="single" w:sz="6" w:space="0" w:color="000000"/>
                    <w:bottom w:val="single" w:sz="6" w:space="0" w:color="000000"/>
                    <w:right w:val="nil"/>
                  </w:tcBorders>
                  <w:shd w:val="clear" w:color="auto" w:fill="auto"/>
                  <w:vAlign w:val="center"/>
                </w:tcPr>
                <w:p w:rsidR="00D915B0" w:rsidRPr="00D915B0" w:rsidRDefault="00D915B0" w:rsidP="00700289">
                  <w:pPr>
                    <w:jc w:val="center"/>
                    <w:rPr>
                      <w:rFonts w:ascii="Arial" w:eastAsia="Times New Roman" w:hAnsi="Arial" w:cs="Arial"/>
                      <w:noProof/>
                    </w:rPr>
                  </w:pPr>
                  <w:r w:rsidRPr="00D915B0">
                    <w:rPr>
                      <w:rFonts w:ascii="Arial" w:eastAsia="Times New Roman" w:hAnsi="Arial" w:cs="Arial"/>
                      <w:noProof/>
                    </w:rPr>
                    <w:drawing>
                      <wp:inline distT="0" distB="0" distL="0" distR="0" wp14:anchorId="1520B68C" wp14:editId="2307D09C">
                        <wp:extent cx="164465" cy="164465"/>
                        <wp:effectExtent l="0" t="0" r="698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194" w:type="dxa"/>
                  <w:tcBorders>
                    <w:left w:val="single" w:sz="4" w:space="0" w:color="auto"/>
                    <w:right w:val="nil"/>
                  </w:tcBorders>
                  <w:shd w:val="clear" w:color="auto" w:fill="auto"/>
                  <w:vAlign w:val="center"/>
                </w:tcPr>
                <w:p w:rsidR="00D915B0" w:rsidRPr="0008069E" w:rsidRDefault="00D915B0" w:rsidP="00700289">
                  <w:pPr>
                    <w:rPr>
                      <w:rFonts w:ascii="Arial" w:eastAsia="Times New Roman" w:hAnsi="Arial" w:cs="Arial"/>
                      <w:bCs/>
                      <w:sz w:val="21"/>
                      <w:szCs w:val="21"/>
                    </w:rPr>
                  </w:pPr>
                  <w:r w:rsidRPr="0008069E">
                    <w:rPr>
                      <w:rFonts w:ascii="Arial" w:eastAsia="Times New Roman" w:hAnsi="Arial" w:cs="Arial"/>
                      <w:bCs/>
                      <w:sz w:val="21"/>
                      <w:szCs w:val="21"/>
                    </w:rPr>
                    <w:t>In November, Oxfordshire’s five district councils undertook their annual estimate of rough sleepers that forms the basis of government statistics on English rough sleeping. Employing national guidance developed by Homeless Link, the councils estimate that 119 people were sleeping rough in Oxfordshire last month – broadly in line with the finding in November 2017, that there were 117 rough sleepers across the county. Nearly four fifths (79 percent) of rough sleepers are in Oxford itself, where Oxford City Council estimated that the number of people sleeping rough had risen slightly from 89 to 94. Estimates are intelligence-led snapshots based on data from councils, outreach teams, other service providers and local partners about the number of people sleeping rough on a particular night. Estimates do not provide a complete picture of everyone sleeping rough in an area. In Oxford, we’re providing up to 215 beds for rough sleepers this winter, which include 41 new beds funded by the temporary Rough Sleeper Initiative. The impact of high and insecure private rents, austerity and welfare reform – particularly the rollout of Universal Credit in Oxfordshire last year – means that, despite our efforts, the estimated number of rough sleepers across Oxfordshire remains unchanged. We will continue to work with our neighbours to tackle homelessness because we believe that nobody should have to sleep rough in Oxfordshire.</w:t>
                  </w:r>
                </w:p>
                <w:p w:rsidR="008C64EB" w:rsidRPr="008C64EB" w:rsidRDefault="008C64EB" w:rsidP="00700289">
                  <w:pPr>
                    <w:rPr>
                      <w:rFonts w:ascii="Arial" w:eastAsia="Times New Roman" w:hAnsi="Arial" w:cs="Arial"/>
                      <w:bCs/>
                      <w:sz w:val="20"/>
                      <w:szCs w:val="20"/>
                    </w:rPr>
                  </w:pPr>
                </w:p>
              </w:tc>
            </w:tr>
            <w:tr w:rsidR="008C64EB" w:rsidRPr="00D915B0" w:rsidTr="00700289">
              <w:trPr>
                <w:trHeight w:val="59"/>
                <w:tblCellSpacing w:w="0" w:type="dxa"/>
                <w:jc w:val="center"/>
              </w:trPr>
              <w:tc>
                <w:tcPr>
                  <w:tcW w:w="0" w:type="auto"/>
                  <w:gridSpan w:val="2"/>
                  <w:tcBorders>
                    <w:top w:val="single" w:sz="6" w:space="0" w:color="000000"/>
                    <w:left w:val="single" w:sz="6" w:space="0" w:color="000000"/>
                    <w:bottom w:val="nil"/>
                    <w:right w:val="nil"/>
                  </w:tcBorders>
                  <w:shd w:val="clear" w:color="auto" w:fill="002060"/>
                  <w:vAlign w:val="center"/>
                  <w:hideMark/>
                </w:tcPr>
                <w:p w:rsidR="008C64EB" w:rsidRPr="00D915B0" w:rsidRDefault="008C64EB" w:rsidP="00700289">
                  <w:pPr>
                    <w:rPr>
                      <w:rFonts w:ascii="Arial" w:eastAsia="Times New Roman" w:hAnsi="Arial" w:cs="Arial"/>
                      <w:b/>
                      <w:bCs/>
                    </w:rPr>
                  </w:pPr>
                  <w:r w:rsidRPr="00D915B0">
                    <w:rPr>
                      <w:rFonts w:ascii="Arial" w:eastAsia="Times New Roman" w:hAnsi="Arial" w:cs="Arial"/>
                      <w:b/>
                      <w:bCs/>
                    </w:rPr>
                    <w:lastRenderedPageBreak/>
                    <w:t>Measure</w:t>
                  </w:r>
                </w:p>
              </w:tc>
              <w:tc>
                <w:tcPr>
                  <w:tcW w:w="0" w:type="auto"/>
                  <w:vMerge w:val="restart"/>
                  <w:tcBorders>
                    <w:top w:val="single" w:sz="6" w:space="0" w:color="000000"/>
                    <w:left w:val="single" w:sz="6" w:space="0" w:color="000000"/>
                    <w:bottom w:val="nil"/>
                    <w:right w:val="nil"/>
                  </w:tcBorders>
                  <w:shd w:val="clear" w:color="auto" w:fill="002060"/>
                  <w:hideMark/>
                </w:tcPr>
                <w:p w:rsidR="008C64EB" w:rsidRPr="00D915B0" w:rsidRDefault="008C64EB" w:rsidP="00700289">
                  <w:pPr>
                    <w:jc w:val="center"/>
                    <w:rPr>
                      <w:rFonts w:ascii="Arial" w:eastAsia="Times New Roman" w:hAnsi="Arial" w:cs="Arial"/>
                      <w:b/>
                      <w:bCs/>
                    </w:rPr>
                  </w:pPr>
                  <w:r w:rsidRPr="00D915B0">
                    <w:rPr>
                      <w:rFonts w:ascii="Arial" w:eastAsia="Times New Roman" w:hAnsi="Arial" w:cs="Arial"/>
                      <w:b/>
                      <w:bCs/>
                    </w:rPr>
                    <w:t>Owner</w:t>
                  </w:r>
                </w:p>
              </w:tc>
              <w:tc>
                <w:tcPr>
                  <w:tcW w:w="0" w:type="auto"/>
                  <w:vMerge w:val="restart"/>
                  <w:tcBorders>
                    <w:top w:val="single" w:sz="6" w:space="0" w:color="000000"/>
                    <w:left w:val="single" w:sz="6" w:space="0" w:color="000000"/>
                    <w:bottom w:val="nil"/>
                    <w:right w:val="nil"/>
                  </w:tcBorders>
                  <w:shd w:val="clear" w:color="auto" w:fill="002060"/>
                  <w:hideMark/>
                </w:tcPr>
                <w:p w:rsidR="008C64EB" w:rsidRPr="00D915B0" w:rsidRDefault="008C64EB" w:rsidP="00700289">
                  <w:pPr>
                    <w:jc w:val="center"/>
                    <w:rPr>
                      <w:rFonts w:ascii="Arial" w:eastAsia="Times New Roman" w:hAnsi="Arial" w:cs="Arial"/>
                      <w:b/>
                      <w:bCs/>
                    </w:rPr>
                  </w:pPr>
                  <w:r w:rsidRPr="00D915B0">
                    <w:rPr>
                      <w:rFonts w:ascii="Arial" w:eastAsia="Times New Roman" w:hAnsi="Arial" w:cs="Arial"/>
                      <w:b/>
                      <w:bCs/>
                    </w:rPr>
                    <w:t>Result 2017/18</w:t>
                  </w:r>
                </w:p>
              </w:tc>
              <w:tc>
                <w:tcPr>
                  <w:tcW w:w="1902" w:type="dxa"/>
                  <w:gridSpan w:val="2"/>
                  <w:tcBorders>
                    <w:top w:val="single" w:sz="6" w:space="0" w:color="000000"/>
                    <w:left w:val="single" w:sz="6" w:space="0" w:color="000000"/>
                    <w:bottom w:val="nil"/>
                    <w:right w:val="single" w:sz="6" w:space="0" w:color="000000"/>
                  </w:tcBorders>
                  <w:shd w:val="clear" w:color="auto" w:fill="002060"/>
                </w:tcPr>
                <w:p w:rsidR="008C64EB" w:rsidRPr="00D915B0" w:rsidRDefault="008C64EB" w:rsidP="00700289">
                  <w:pPr>
                    <w:jc w:val="center"/>
                    <w:rPr>
                      <w:rFonts w:ascii="Arial" w:eastAsia="Times New Roman" w:hAnsi="Arial" w:cs="Arial"/>
                      <w:b/>
                      <w:bCs/>
                    </w:rPr>
                  </w:pPr>
                  <w:r w:rsidRPr="00D915B0">
                    <w:rPr>
                      <w:rFonts w:ascii="Arial" w:eastAsia="Times New Roman" w:hAnsi="Arial" w:cs="Arial"/>
                      <w:b/>
                      <w:bCs/>
                    </w:rPr>
                    <w:t>Latest Data</w:t>
                  </w:r>
                </w:p>
              </w:tc>
              <w:tc>
                <w:tcPr>
                  <w:tcW w:w="1164" w:type="dxa"/>
                  <w:vMerge w:val="restart"/>
                  <w:tcBorders>
                    <w:top w:val="single" w:sz="6" w:space="0" w:color="000000"/>
                    <w:left w:val="single" w:sz="6" w:space="0" w:color="000000"/>
                    <w:bottom w:val="nil"/>
                    <w:right w:val="nil"/>
                  </w:tcBorders>
                  <w:shd w:val="clear" w:color="auto" w:fill="002060"/>
                  <w:hideMark/>
                </w:tcPr>
                <w:p w:rsidR="008C64EB" w:rsidRPr="00D915B0" w:rsidRDefault="008C64EB" w:rsidP="00700289">
                  <w:pPr>
                    <w:jc w:val="center"/>
                    <w:rPr>
                      <w:rFonts w:ascii="Arial" w:eastAsia="Times New Roman" w:hAnsi="Arial" w:cs="Arial"/>
                      <w:b/>
                      <w:bCs/>
                    </w:rPr>
                  </w:pPr>
                  <w:r w:rsidRPr="00D915B0">
                    <w:rPr>
                      <w:rFonts w:ascii="Arial" w:eastAsia="Times New Roman" w:hAnsi="Arial" w:cs="Arial"/>
                      <w:b/>
                      <w:bCs/>
                    </w:rPr>
                    <w:t>Year End Target 2018/19</w:t>
                  </w:r>
                </w:p>
              </w:tc>
              <w:tc>
                <w:tcPr>
                  <w:tcW w:w="1214" w:type="dxa"/>
                  <w:vMerge w:val="restart"/>
                  <w:tcBorders>
                    <w:top w:val="single" w:sz="6" w:space="0" w:color="000000"/>
                    <w:left w:val="single" w:sz="6" w:space="0" w:color="000000"/>
                    <w:bottom w:val="nil"/>
                    <w:right w:val="nil"/>
                  </w:tcBorders>
                  <w:shd w:val="clear" w:color="auto" w:fill="002060"/>
                  <w:hideMark/>
                </w:tcPr>
                <w:p w:rsidR="008C64EB" w:rsidRPr="00D915B0" w:rsidRDefault="008C64EB" w:rsidP="00700289">
                  <w:pPr>
                    <w:jc w:val="center"/>
                    <w:rPr>
                      <w:rFonts w:ascii="Arial" w:eastAsia="Times New Roman" w:hAnsi="Arial" w:cs="Arial"/>
                      <w:b/>
                      <w:bCs/>
                    </w:rPr>
                  </w:pPr>
                  <w:r w:rsidRPr="00D915B0">
                    <w:rPr>
                      <w:rFonts w:ascii="Arial" w:eastAsia="Times New Roman" w:hAnsi="Arial" w:cs="Arial"/>
                      <w:b/>
                      <w:bCs/>
                    </w:rPr>
                    <w:t>RAG</w:t>
                  </w:r>
                </w:p>
              </w:tc>
              <w:tc>
                <w:tcPr>
                  <w:tcW w:w="5594" w:type="dxa"/>
                  <w:gridSpan w:val="3"/>
                  <w:tcBorders>
                    <w:top w:val="single" w:sz="6" w:space="0" w:color="000000"/>
                    <w:left w:val="single" w:sz="4" w:space="0" w:color="auto"/>
                    <w:right w:val="nil"/>
                  </w:tcBorders>
                  <w:shd w:val="clear" w:color="auto" w:fill="002060"/>
                </w:tcPr>
                <w:p w:rsidR="008C64EB" w:rsidRPr="00D915B0" w:rsidRDefault="008C64EB" w:rsidP="00700289">
                  <w:pPr>
                    <w:rPr>
                      <w:rFonts w:ascii="Arial" w:eastAsia="Times New Roman" w:hAnsi="Arial" w:cs="Arial"/>
                      <w:b/>
                      <w:bCs/>
                    </w:rPr>
                  </w:pPr>
                  <w:r w:rsidRPr="00D915B0">
                    <w:rPr>
                      <w:rFonts w:ascii="Arial" w:eastAsia="Times New Roman" w:hAnsi="Arial" w:cs="Arial"/>
                      <w:b/>
                      <w:bCs/>
                    </w:rPr>
                    <w:t>Comments</w:t>
                  </w:r>
                </w:p>
                <w:p w:rsidR="008C64EB" w:rsidRPr="00D915B0" w:rsidRDefault="008C64EB" w:rsidP="00700289">
                  <w:pPr>
                    <w:rPr>
                      <w:rFonts w:ascii="Arial" w:eastAsia="Times New Roman" w:hAnsi="Arial" w:cs="Arial"/>
                      <w:b/>
                      <w:bCs/>
                    </w:rPr>
                  </w:pPr>
                </w:p>
              </w:tc>
            </w:tr>
            <w:tr w:rsidR="008C64EB" w:rsidRPr="00D915B0" w:rsidTr="00700289">
              <w:trPr>
                <w:tblCellSpacing w:w="0" w:type="dxa"/>
                <w:jc w:val="center"/>
              </w:trPr>
              <w:tc>
                <w:tcPr>
                  <w:tcW w:w="900" w:type="dxa"/>
                  <w:tcBorders>
                    <w:top w:val="single" w:sz="6" w:space="0" w:color="000000"/>
                    <w:left w:val="single" w:sz="6" w:space="0" w:color="000000"/>
                    <w:bottom w:val="single" w:sz="6" w:space="0" w:color="000000"/>
                    <w:right w:val="nil"/>
                  </w:tcBorders>
                  <w:shd w:val="clear" w:color="auto" w:fill="002060"/>
                  <w:vAlign w:val="center"/>
                  <w:hideMark/>
                </w:tcPr>
                <w:p w:rsidR="008C64EB" w:rsidRPr="00D915B0" w:rsidRDefault="008C64EB" w:rsidP="00700289">
                  <w:pPr>
                    <w:rPr>
                      <w:rFonts w:ascii="Arial" w:eastAsia="Times New Roman" w:hAnsi="Arial" w:cs="Arial"/>
                      <w:b/>
                      <w:bCs/>
                    </w:rPr>
                  </w:pPr>
                  <w:r w:rsidRPr="00D915B0">
                    <w:rPr>
                      <w:rFonts w:ascii="Arial" w:eastAsia="Times New Roman" w:hAnsi="Arial" w:cs="Arial"/>
                      <w:b/>
                      <w:bCs/>
                    </w:rPr>
                    <w:t>Ref</w:t>
                  </w:r>
                </w:p>
              </w:tc>
              <w:tc>
                <w:tcPr>
                  <w:tcW w:w="2055" w:type="dxa"/>
                  <w:tcBorders>
                    <w:top w:val="single" w:sz="6" w:space="0" w:color="000000"/>
                    <w:left w:val="single" w:sz="6" w:space="0" w:color="000000"/>
                    <w:bottom w:val="single" w:sz="6" w:space="0" w:color="000000"/>
                    <w:right w:val="nil"/>
                  </w:tcBorders>
                  <w:shd w:val="clear" w:color="auto" w:fill="002060"/>
                  <w:vAlign w:val="center"/>
                  <w:hideMark/>
                </w:tcPr>
                <w:p w:rsidR="008C64EB" w:rsidRPr="00D915B0" w:rsidRDefault="008C64EB" w:rsidP="00700289">
                  <w:pPr>
                    <w:rPr>
                      <w:rFonts w:ascii="Arial" w:eastAsia="Times New Roman" w:hAnsi="Arial" w:cs="Arial"/>
                      <w:b/>
                      <w:bCs/>
                    </w:rPr>
                  </w:pPr>
                  <w:r w:rsidRPr="00D915B0">
                    <w:rPr>
                      <w:rFonts w:ascii="Arial" w:eastAsia="Times New Roman" w:hAnsi="Arial" w:cs="Arial"/>
                      <w:b/>
                      <w:bCs/>
                    </w:rPr>
                    <w:t>Description</w:t>
                  </w:r>
                </w:p>
              </w:tc>
              <w:tc>
                <w:tcPr>
                  <w:tcW w:w="0" w:type="auto"/>
                  <w:vMerge/>
                  <w:tcBorders>
                    <w:top w:val="single" w:sz="6" w:space="0" w:color="000000"/>
                    <w:left w:val="single" w:sz="6" w:space="0" w:color="000000"/>
                    <w:bottom w:val="single" w:sz="6" w:space="0" w:color="000000"/>
                    <w:right w:val="nil"/>
                  </w:tcBorders>
                  <w:shd w:val="clear" w:color="auto" w:fill="002060"/>
                  <w:vAlign w:val="center"/>
                  <w:hideMark/>
                </w:tcPr>
                <w:p w:rsidR="008C64EB" w:rsidRPr="00D915B0" w:rsidRDefault="008C64EB" w:rsidP="00700289">
                  <w:pPr>
                    <w:rPr>
                      <w:rFonts w:ascii="Arial" w:eastAsia="Times New Roman" w:hAnsi="Arial" w:cs="Arial"/>
                      <w:b/>
                      <w:bCs/>
                    </w:rPr>
                  </w:pPr>
                </w:p>
              </w:tc>
              <w:tc>
                <w:tcPr>
                  <w:tcW w:w="0" w:type="auto"/>
                  <w:vMerge/>
                  <w:tcBorders>
                    <w:top w:val="single" w:sz="6" w:space="0" w:color="000000"/>
                    <w:left w:val="single" w:sz="6" w:space="0" w:color="000000"/>
                    <w:bottom w:val="single" w:sz="6" w:space="0" w:color="000000"/>
                    <w:right w:val="nil"/>
                  </w:tcBorders>
                  <w:shd w:val="clear" w:color="auto" w:fill="002060"/>
                  <w:vAlign w:val="center"/>
                  <w:hideMark/>
                </w:tcPr>
                <w:p w:rsidR="008C64EB" w:rsidRPr="00D915B0" w:rsidRDefault="008C64EB" w:rsidP="00700289">
                  <w:pPr>
                    <w:rPr>
                      <w:rFonts w:ascii="Arial" w:eastAsia="Times New Roman" w:hAnsi="Arial" w:cs="Arial"/>
                      <w:b/>
                      <w:bCs/>
                    </w:rPr>
                  </w:pPr>
                </w:p>
              </w:tc>
              <w:tc>
                <w:tcPr>
                  <w:tcW w:w="969" w:type="dxa"/>
                  <w:tcBorders>
                    <w:left w:val="single" w:sz="6" w:space="0" w:color="000000"/>
                    <w:right w:val="single" w:sz="6" w:space="0" w:color="000000"/>
                  </w:tcBorders>
                  <w:shd w:val="clear" w:color="auto" w:fill="002060"/>
                  <w:vAlign w:val="center"/>
                </w:tcPr>
                <w:p w:rsidR="008C64EB" w:rsidRPr="00D915B0" w:rsidRDefault="008C64EB" w:rsidP="00700289">
                  <w:pPr>
                    <w:jc w:val="center"/>
                    <w:rPr>
                      <w:rFonts w:ascii="Arial" w:eastAsia="Times New Roman" w:hAnsi="Arial" w:cs="Arial"/>
                      <w:b/>
                      <w:bCs/>
                    </w:rPr>
                  </w:pPr>
                  <w:r w:rsidRPr="00D915B0">
                    <w:rPr>
                      <w:rFonts w:ascii="Arial" w:eastAsia="Times New Roman" w:hAnsi="Arial" w:cs="Arial"/>
                      <w:b/>
                      <w:bCs/>
                    </w:rPr>
                    <w:t>Target</w:t>
                  </w:r>
                </w:p>
              </w:tc>
              <w:tc>
                <w:tcPr>
                  <w:tcW w:w="933" w:type="dxa"/>
                  <w:tcBorders>
                    <w:left w:val="single" w:sz="6" w:space="0" w:color="000000"/>
                    <w:right w:val="nil"/>
                  </w:tcBorders>
                  <w:shd w:val="clear" w:color="auto" w:fill="002060"/>
                  <w:vAlign w:val="center"/>
                  <w:hideMark/>
                </w:tcPr>
                <w:p w:rsidR="008C64EB" w:rsidRPr="00D915B0" w:rsidRDefault="008C64EB" w:rsidP="00700289">
                  <w:pPr>
                    <w:jc w:val="center"/>
                    <w:rPr>
                      <w:rFonts w:ascii="Arial" w:eastAsia="Times New Roman" w:hAnsi="Arial" w:cs="Arial"/>
                      <w:b/>
                      <w:bCs/>
                    </w:rPr>
                  </w:pPr>
                  <w:r w:rsidRPr="00D915B0">
                    <w:rPr>
                      <w:rFonts w:ascii="Arial" w:eastAsia="Times New Roman" w:hAnsi="Arial" w:cs="Arial"/>
                      <w:b/>
                      <w:bCs/>
                    </w:rPr>
                    <w:t>Result</w:t>
                  </w:r>
                </w:p>
              </w:tc>
              <w:tc>
                <w:tcPr>
                  <w:tcW w:w="1164" w:type="dxa"/>
                  <w:vMerge/>
                  <w:tcBorders>
                    <w:top w:val="single" w:sz="6" w:space="0" w:color="000000"/>
                    <w:left w:val="single" w:sz="6" w:space="0" w:color="000000"/>
                    <w:bottom w:val="single" w:sz="6" w:space="0" w:color="000000"/>
                    <w:right w:val="nil"/>
                  </w:tcBorders>
                  <w:shd w:val="clear" w:color="auto" w:fill="002060"/>
                  <w:vAlign w:val="center"/>
                  <w:hideMark/>
                </w:tcPr>
                <w:p w:rsidR="008C64EB" w:rsidRPr="00D915B0" w:rsidRDefault="008C64EB" w:rsidP="00700289">
                  <w:pPr>
                    <w:rPr>
                      <w:rFonts w:ascii="Arial" w:eastAsia="Times New Roman" w:hAnsi="Arial" w:cs="Arial"/>
                      <w:b/>
                      <w:bCs/>
                    </w:rPr>
                  </w:pPr>
                </w:p>
              </w:tc>
              <w:tc>
                <w:tcPr>
                  <w:tcW w:w="1214" w:type="dxa"/>
                  <w:vMerge/>
                  <w:tcBorders>
                    <w:top w:val="single" w:sz="6" w:space="0" w:color="000000"/>
                    <w:left w:val="single" w:sz="6" w:space="0" w:color="000000"/>
                    <w:bottom w:val="single" w:sz="6" w:space="0" w:color="000000"/>
                    <w:right w:val="nil"/>
                  </w:tcBorders>
                  <w:shd w:val="clear" w:color="auto" w:fill="002060"/>
                  <w:vAlign w:val="center"/>
                  <w:hideMark/>
                </w:tcPr>
                <w:p w:rsidR="008C64EB" w:rsidRPr="00D915B0" w:rsidRDefault="008C64EB" w:rsidP="00700289">
                  <w:pPr>
                    <w:rPr>
                      <w:rFonts w:ascii="Arial" w:eastAsia="Times New Roman" w:hAnsi="Arial" w:cs="Arial"/>
                      <w:b/>
                      <w:bCs/>
                    </w:rPr>
                  </w:pPr>
                </w:p>
              </w:tc>
              <w:tc>
                <w:tcPr>
                  <w:tcW w:w="686" w:type="dxa"/>
                  <w:tcBorders>
                    <w:top w:val="single" w:sz="6" w:space="0" w:color="000000"/>
                    <w:left w:val="single" w:sz="6" w:space="0" w:color="000000"/>
                    <w:bottom w:val="single" w:sz="6" w:space="0" w:color="000000"/>
                    <w:right w:val="nil"/>
                  </w:tcBorders>
                  <w:shd w:val="clear" w:color="auto" w:fill="002060"/>
                  <w:vAlign w:val="center"/>
                  <w:hideMark/>
                </w:tcPr>
                <w:p w:rsidR="008C64EB" w:rsidRPr="00D915B0" w:rsidRDefault="008C64EB" w:rsidP="00700289">
                  <w:pPr>
                    <w:jc w:val="center"/>
                    <w:rPr>
                      <w:rFonts w:ascii="Arial" w:eastAsia="Times New Roman" w:hAnsi="Arial" w:cs="Arial"/>
                      <w:b/>
                      <w:bCs/>
                    </w:rPr>
                  </w:pPr>
                  <w:proofErr w:type="spellStart"/>
                  <w:r w:rsidRPr="00D915B0">
                    <w:rPr>
                      <w:rFonts w:ascii="Arial" w:eastAsia="Times New Roman" w:hAnsi="Arial" w:cs="Arial"/>
                      <w:b/>
                      <w:bCs/>
                    </w:rPr>
                    <w:t>Prd</w:t>
                  </w:r>
                  <w:proofErr w:type="spellEnd"/>
                </w:p>
              </w:tc>
              <w:tc>
                <w:tcPr>
                  <w:tcW w:w="714" w:type="dxa"/>
                  <w:tcBorders>
                    <w:top w:val="single" w:sz="6" w:space="0" w:color="000000"/>
                    <w:left w:val="single" w:sz="6" w:space="0" w:color="000000"/>
                    <w:bottom w:val="single" w:sz="6" w:space="0" w:color="000000"/>
                    <w:right w:val="nil"/>
                  </w:tcBorders>
                  <w:shd w:val="clear" w:color="auto" w:fill="002060"/>
                  <w:vAlign w:val="center"/>
                  <w:hideMark/>
                </w:tcPr>
                <w:p w:rsidR="008C64EB" w:rsidRPr="00D915B0" w:rsidRDefault="008C64EB" w:rsidP="00700289">
                  <w:pPr>
                    <w:jc w:val="center"/>
                    <w:rPr>
                      <w:rFonts w:ascii="Arial" w:eastAsia="Times New Roman" w:hAnsi="Arial" w:cs="Arial"/>
                      <w:b/>
                      <w:bCs/>
                    </w:rPr>
                  </w:pPr>
                  <w:proofErr w:type="spellStart"/>
                  <w:r w:rsidRPr="00D915B0">
                    <w:rPr>
                      <w:rFonts w:ascii="Arial" w:eastAsia="Times New Roman" w:hAnsi="Arial" w:cs="Arial"/>
                      <w:b/>
                      <w:bCs/>
                    </w:rPr>
                    <w:t>Prev</w:t>
                  </w:r>
                  <w:proofErr w:type="spellEnd"/>
                  <w:r w:rsidRPr="00D915B0">
                    <w:rPr>
                      <w:rFonts w:ascii="Arial" w:eastAsia="Times New Roman" w:hAnsi="Arial" w:cs="Arial"/>
                      <w:b/>
                      <w:bCs/>
                    </w:rPr>
                    <w:t xml:space="preserve"> Year  End</w:t>
                  </w:r>
                </w:p>
              </w:tc>
              <w:tc>
                <w:tcPr>
                  <w:tcW w:w="4194" w:type="dxa"/>
                  <w:tcBorders>
                    <w:left w:val="single" w:sz="4" w:space="0" w:color="auto"/>
                    <w:right w:val="nil"/>
                  </w:tcBorders>
                  <w:shd w:val="clear" w:color="auto" w:fill="002060"/>
                  <w:vAlign w:val="center"/>
                  <w:hideMark/>
                </w:tcPr>
                <w:p w:rsidR="008C64EB" w:rsidRPr="00D915B0" w:rsidRDefault="008C64EB" w:rsidP="00700289">
                  <w:pPr>
                    <w:rPr>
                      <w:rFonts w:ascii="Arial" w:eastAsia="Times New Roman" w:hAnsi="Arial" w:cs="Arial"/>
                      <w:b/>
                      <w:bCs/>
                    </w:rPr>
                  </w:pPr>
                </w:p>
              </w:tc>
            </w:tr>
            <w:tr w:rsidR="008C64EB" w:rsidRPr="00D915B0" w:rsidTr="006B7308">
              <w:trPr>
                <w:trHeight w:val="1075"/>
                <w:tblCellSpacing w:w="0" w:type="dxa"/>
                <w:jc w:val="center"/>
              </w:trPr>
              <w:tc>
                <w:tcPr>
                  <w:tcW w:w="900" w:type="dxa"/>
                  <w:tcBorders>
                    <w:top w:val="single" w:sz="6" w:space="0" w:color="000000"/>
                    <w:left w:val="single" w:sz="6" w:space="0" w:color="000000"/>
                    <w:bottom w:val="single" w:sz="6" w:space="0" w:color="000000"/>
                    <w:right w:val="nil"/>
                  </w:tcBorders>
                  <w:shd w:val="clear" w:color="auto" w:fill="auto"/>
                  <w:vAlign w:val="center"/>
                </w:tcPr>
                <w:p w:rsidR="008C64EB" w:rsidRPr="004D4A88" w:rsidRDefault="004D4A88" w:rsidP="00700289">
                  <w:pPr>
                    <w:rPr>
                      <w:rFonts w:ascii="Arial" w:eastAsia="Times New Roman" w:hAnsi="Arial" w:cs="Arial"/>
                      <w:bCs/>
                    </w:rPr>
                  </w:pPr>
                  <w:r w:rsidRPr="004D4A88">
                    <w:rPr>
                      <w:rFonts w:ascii="Arial" w:eastAsia="Times New Roman" w:hAnsi="Arial" w:cs="Arial"/>
                      <w:bCs/>
                    </w:rPr>
                    <w:t>HP004</w:t>
                  </w:r>
                </w:p>
              </w:tc>
              <w:tc>
                <w:tcPr>
                  <w:tcW w:w="2055" w:type="dxa"/>
                  <w:tcBorders>
                    <w:top w:val="single" w:sz="6" w:space="0" w:color="000000"/>
                    <w:left w:val="single" w:sz="6" w:space="0" w:color="000000"/>
                    <w:bottom w:val="single" w:sz="6" w:space="0" w:color="000000"/>
                    <w:right w:val="nil"/>
                  </w:tcBorders>
                  <w:shd w:val="clear" w:color="auto" w:fill="auto"/>
                  <w:vAlign w:val="center"/>
                </w:tcPr>
                <w:p w:rsidR="008C64EB" w:rsidRPr="004D4A88" w:rsidRDefault="004D4A88" w:rsidP="00700289">
                  <w:pPr>
                    <w:rPr>
                      <w:rFonts w:ascii="Arial" w:eastAsia="Times New Roman" w:hAnsi="Arial" w:cs="Arial"/>
                      <w:bCs/>
                    </w:rPr>
                  </w:pPr>
                  <w:r w:rsidRPr="004D4A88">
                    <w:rPr>
                      <w:rFonts w:ascii="Arial" w:eastAsia="Times New Roman" w:hAnsi="Arial" w:cs="Arial"/>
                      <w:bCs/>
                    </w:rPr>
                    <w:t>The number of successful interventions with rough sleepers</w:t>
                  </w:r>
                  <w:r w:rsidR="00514365">
                    <w:rPr>
                      <w:rFonts w:ascii="Arial" w:eastAsia="Times New Roman" w:hAnsi="Arial" w:cs="Arial"/>
                      <w:bCs/>
                    </w:rPr>
                    <w:t>.</w:t>
                  </w:r>
                </w:p>
              </w:tc>
              <w:tc>
                <w:tcPr>
                  <w:tcW w:w="0" w:type="auto"/>
                  <w:tcBorders>
                    <w:top w:val="single" w:sz="6" w:space="0" w:color="000000"/>
                    <w:left w:val="single" w:sz="6" w:space="0" w:color="000000"/>
                    <w:bottom w:val="single" w:sz="6" w:space="0" w:color="000000"/>
                    <w:right w:val="nil"/>
                  </w:tcBorders>
                  <w:shd w:val="clear" w:color="auto" w:fill="auto"/>
                  <w:vAlign w:val="center"/>
                </w:tcPr>
                <w:p w:rsidR="008C64EB" w:rsidRPr="004D4A88" w:rsidRDefault="004D4A88" w:rsidP="00700289">
                  <w:pPr>
                    <w:rPr>
                      <w:rFonts w:ascii="Arial" w:eastAsia="Times New Roman" w:hAnsi="Arial" w:cs="Arial"/>
                      <w:bCs/>
                    </w:rPr>
                  </w:pPr>
                  <w:r w:rsidRPr="004D4A88">
                    <w:rPr>
                      <w:rFonts w:ascii="Arial" w:eastAsia="Times New Roman" w:hAnsi="Arial" w:cs="Arial"/>
                      <w:bCs/>
                    </w:rPr>
                    <w:t>Stephen Clarke</w:t>
                  </w:r>
                </w:p>
              </w:tc>
              <w:tc>
                <w:tcPr>
                  <w:tcW w:w="0" w:type="auto"/>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8C64EB" w:rsidRPr="004D4A88" w:rsidRDefault="004D4A88" w:rsidP="00700289">
                  <w:pPr>
                    <w:rPr>
                      <w:rFonts w:ascii="Arial" w:eastAsia="Times New Roman" w:hAnsi="Arial" w:cs="Arial"/>
                      <w:bCs/>
                    </w:rPr>
                  </w:pPr>
                  <w:r w:rsidRPr="004D4A88">
                    <w:rPr>
                      <w:rFonts w:ascii="Arial" w:eastAsia="Times New Roman" w:hAnsi="Arial" w:cs="Arial"/>
                      <w:bCs/>
                    </w:rPr>
                    <w:t>304 Number</w:t>
                  </w:r>
                </w:p>
              </w:tc>
              <w:tc>
                <w:tcPr>
                  <w:tcW w:w="969" w:type="dxa"/>
                  <w:tcBorders>
                    <w:left w:val="single" w:sz="6" w:space="0" w:color="000000"/>
                    <w:right w:val="single" w:sz="6" w:space="0" w:color="000000"/>
                  </w:tcBorders>
                  <w:shd w:val="clear" w:color="auto" w:fill="auto"/>
                  <w:vAlign w:val="center"/>
                </w:tcPr>
                <w:p w:rsidR="008C64EB" w:rsidRPr="004D4A88" w:rsidRDefault="004D4A88" w:rsidP="00700289">
                  <w:pPr>
                    <w:jc w:val="center"/>
                    <w:rPr>
                      <w:rFonts w:ascii="Arial" w:eastAsia="Times New Roman" w:hAnsi="Arial" w:cs="Arial"/>
                      <w:bCs/>
                    </w:rPr>
                  </w:pPr>
                  <w:r w:rsidRPr="004D4A88">
                    <w:rPr>
                      <w:rFonts w:ascii="Arial" w:eastAsia="Times New Roman" w:hAnsi="Arial" w:cs="Arial"/>
                      <w:bCs/>
                    </w:rPr>
                    <w:t>225 Number</w:t>
                  </w:r>
                </w:p>
              </w:tc>
              <w:tc>
                <w:tcPr>
                  <w:tcW w:w="933" w:type="dxa"/>
                  <w:tcBorders>
                    <w:left w:val="single" w:sz="6" w:space="0" w:color="000000"/>
                    <w:right w:val="nil"/>
                  </w:tcBorders>
                  <w:shd w:val="clear" w:color="auto" w:fill="auto"/>
                  <w:vAlign w:val="center"/>
                </w:tcPr>
                <w:p w:rsidR="008C64EB" w:rsidRPr="004D4A88" w:rsidRDefault="004D4A88" w:rsidP="00700289">
                  <w:pPr>
                    <w:jc w:val="center"/>
                    <w:rPr>
                      <w:rFonts w:ascii="Arial" w:eastAsia="Times New Roman" w:hAnsi="Arial" w:cs="Arial"/>
                      <w:bCs/>
                    </w:rPr>
                  </w:pPr>
                  <w:r w:rsidRPr="004D4A88">
                    <w:rPr>
                      <w:rFonts w:ascii="Arial" w:eastAsia="Times New Roman" w:hAnsi="Arial" w:cs="Arial"/>
                      <w:bCs/>
                    </w:rPr>
                    <w:t>319 Number</w:t>
                  </w:r>
                </w:p>
              </w:tc>
              <w:tc>
                <w:tcPr>
                  <w:tcW w:w="116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8C64EB" w:rsidRPr="004D4A88" w:rsidRDefault="004D4A88" w:rsidP="00700289">
                  <w:pPr>
                    <w:rPr>
                      <w:rFonts w:ascii="Arial" w:eastAsia="Times New Roman" w:hAnsi="Arial" w:cs="Arial"/>
                      <w:bCs/>
                    </w:rPr>
                  </w:pPr>
                  <w:r w:rsidRPr="004D4A88">
                    <w:rPr>
                      <w:rFonts w:ascii="Arial" w:eastAsia="Times New Roman" w:hAnsi="Arial" w:cs="Arial"/>
                      <w:bCs/>
                    </w:rPr>
                    <w:t>300 Number</w:t>
                  </w:r>
                </w:p>
              </w:tc>
              <w:tc>
                <w:tcPr>
                  <w:tcW w:w="1214" w:type="dxa"/>
                  <w:tcBorders>
                    <w:top w:val="single" w:sz="6" w:space="0" w:color="000000"/>
                    <w:left w:val="single" w:sz="6" w:space="0" w:color="000000"/>
                    <w:bottom w:val="single" w:sz="6" w:space="0" w:color="000000"/>
                    <w:right w:val="nil"/>
                  </w:tcBorders>
                  <w:shd w:val="clear" w:color="auto" w:fill="00FF00"/>
                  <w:vAlign w:val="center"/>
                </w:tcPr>
                <w:p w:rsidR="008C64EB" w:rsidRPr="004D4A88" w:rsidRDefault="008C64EB" w:rsidP="00700289">
                  <w:pPr>
                    <w:rPr>
                      <w:rFonts w:ascii="Arial" w:eastAsia="Times New Roman" w:hAnsi="Arial" w:cs="Arial"/>
                      <w:bCs/>
                    </w:rPr>
                  </w:pPr>
                </w:p>
              </w:tc>
              <w:tc>
                <w:tcPr>
                  <w:tcW w:w="686" w:type="dxa"/>
                  <w:tcBorders>
                    <w:top w:val="single" w:sz="6" w:space="0" w:color="000000"/>
                    <w:left w:val="single" w:sz="6" w:space="0" w:color="000000"/>
                    <w:bottom w:val="single" w:sz="6" w:space="0" w:color="000000"/>
                    <w:right w:val="nil"/>
                  </w:tcBorders>
                  <w:shd w:val="clear" w:color="auto" w:fill="auto"/>
                  <w:vAlign w:val="center"/>
                </w:tcPr>
                <w:p w:rsidR="008C64EB" w:rsidRPr="004D4A88" w:rsidRDefault="004D4A88" w:rsidP="00700289">
                  <w:pPr>
                    <w:jc w:val="center"/>
                    <w:rPr>
                      <w:rFonts w:ascii="Arial" w:eastAsia="Times New Roman" w:hAnsi="Arial" w:cs="Arial"/>
                      <w:bCs/>
                    </w:rPr>
                  </w:pPr>
                  <w:r w:rsidRPr="004D4A88">
                    <w:rPr>
                      <w:rFonts w:ascii="Arial" w:eastAsia="Times New Roman" w:hAnsi="Arial" w:cs="Arial"/>
                      <w:noProof/>
                    </w:rPr>
                    <w:drawing>
                      <wp:inline distT="0" distB="0" distL="0" distR="0" wp14:anchorId="3C8A6C89" wp14:editId="25728D80">
                        <wp:extent cx="164465" cy="164465"/>
                        <wp:effectExtent l="0" t="0" r="698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714" w:type="dxa"/>
                  <w:tcBorders>
                    <w:top w:val="single" w:sz="6" w:space="0" w:color="000000"/>
                    <w:left w:val="single" w:sz="6" w:space="0" w:color="000000"/>
                    <w:bottom w:val="single" w:sz="6" w:space="0" w:color="000000"/>
                    <w:right w:val="nil"/>
                  </w:tcBorders>
                  <w:shd w:val="clear" w:color="auto" w:fill="auto"/>
                  <w:vAlign w:val="center"/>
                </w:tcPr>
                <w:p w:rsidR="008C64EB" w:rsidRPr="004D4A88" w:rsidRDefault="004D4A88" w:rsidP="00700289">
                  <w:pPr>
                    <w:jc w:val="center"/>
                    <w:rPr>
                      <w:rFonts w:ascii="Arial" w:eastAsia="Times New Roman" w:hAnsi="Arial" w:cs="Arial"/>
                      <w:bCs/>
                    </w:rPr>
                  </w:pPr>
                  <w:r w:rsidRPr="004D4A88">
                    <w:rPr>
                      <w:rFonts w:ascii="Arial" w:eastAsia="Times New Roman" w:hAnsi="Arial" w:cs="Arial"/>
                      <w:noProof/>
                    </w:rPr>
                    <w:drawing>
                      <wp:inline distT="0" distB="0" distL="0" distR="0" wp14:anchorId="36AB3726" wp14:editId="616F89DD">
                        <wp:extent cx="164465" cy="164465"/>
                        <wp:effectExtent l="0" t="0" r="698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8C64EB" w:rsidRPr="004D4A88" w:rsidRDefault="004D4A88" w:rsidP="00700289">
                  <w:pPr>
                    <w:rPr>
                      <w:rFonts w:ascii="Arial" w:eastAsia="Times New Roman" w:hAnsi="Arial" w:cs="Arial"/>
                      <w:bCs/>
                    </w:rPr>
                  </w:pPr>
                  <w:r w:rsidRPr="004D4A88">
                    <w:rPr>
                      <w:rFonts w:ascii="Arial" w:eastAsia="Times New Roman" w:hAnsi="Arial" w:cs="Arial"/>
                      <w:bCs/>
                    </w:rPr>
                    <w:t>On target.</w:t>
                  </w:r>
                </w:p>
              </w:tc>
            </w:tr>
            <w:tr w:rsidR="004D4A88" w:rsidRPr="00D915B0" w:rsidTr="00514365">
              <w:trPr>
                <w:trHeight w:val="798"/>
                <w:tblCellSpacing w:w="0" w:type="dxa"/>
                <w:jc w:val="center"/>
              </w:trPr>
              <w:tc>
                <w:tcPr>
                  <w:tcW w:w="900"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BV064</w:t>
                  </w:r>
                </w:p>
              </w:tc>
              <w:tc>
                <w:tcPr>
                  <w:tcW w:w="2055"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Empty homes returned to use</w:t>
                  </w:r>
                  <w:r w:rsidR="00514365">
                    <w:rPr>
                      <w:rFonts w:ascii="Arial" w:eastAsia="Times New Roman" w:hAnsi="Arial" w:cs="Arial"/>
                      <w:bCs/>
                    </w:rPr>
                    <w:t>.</w:t>
                  </w:r>
                </w:p>
              </w:tc>
              <w:tc>
                <w:tcPr>
                  <w:tcW w:w="0" w:type="auto"/>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Stephen Clarke</w:t>
                  </w:r>
                </w:p>
              </w:tc>
              <w:tc>
                <w:tcPr>
                  <w:tcW w:w="0" w:type="auto"/>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23 Homes</w:t>
                  </w:r>
                </w:p>
              </w:tc>
              <w:tc>
                <w:tcPr>
                  <w:tcW w:w="969" w:type="dxa"/>
                  <w:tcBorders>
                    <w:left w:val="single" w:sz="6" w:space="0" w:color="000000"/>
                    <w:right w:val="single" w:sz="6" w:space="0" w:color="000000"/>
                  </w:tcBorders>
                  <w:shd w:val="clear" w:color="auto" w:fill="auto"/>
                  <w:vAlign w:val="center"/>
                </w:tcPr>
                <w:p w:rsidR="004D4A88" w:rsidRPr="004D4A88" w:rsidRDefault="004D4A88" w:rsidP="00700289">
                  <w:pPr>
                    <w:jc w:val="center"/>
                    <w:rPr>
                      <w:rFonts w:ascii="Arial" w:eastAsia="Times New Roman" w:hAnsi="Arial" w:cs="Arial"/>
                      <w:bCs/>
                    </w:rPr>
                  </w:pPr>
                  <w:r w:rsidRPr="004D4A88">
                    <w:rPr>
                      <w:rFonts w:ascii="Arial" w:eastAsia="Times New Roman" w:hAnsi="Arial" w:cs="Arial"/>
                      <w:bCs/>
                    </w:rPr>
                    <w:t>12 Homes</w:t>
                  </w:r>
                </w:p>
              </w:tc>
              <w:tc>
                <w:tcPr>
                  <w:tcW w:w="933" w:type="dxa"/>
                  <w:tcBorders>
                    <w:left w:val="single" w:sz="6" w:space="0" w:color="000000"/>
                    <w:right w:val="nil"/>
                  </w:tcBorders>
                  <w:shd w:val="clear" w:color="auto" w:fill="auto"/>
                  <w:vAlign w:val="center"/>
                </w:tcPr>
                <w:p w:rsidR="004D4A88" w:rsidRPr="004D4A88" w:rsidRDefault="004D4A88" w:rsidP="00700289">
                  <w:pPr>
                    <w:jc w:val="center"/>
                    <w:rPr>
                      <w:rFonts w:ascii="Arial" w:eastAsia="Times New Roman" w:hAnsi="Arial" w:cs="Arial"/>
                      <w:bCs/>
                    </w:rPr>
                  </w:pPr>
                  <w:r w:rsidRPr="004D4A88">
                    <w:rPr>
                      <w:rFonts w:ascii="Arial" w:eastAsia="Times New Roman" w:hAnsi="Arial" w:cs="Arial"/>
                      <w:bCs/>
                    </w:rPr>
                    <w:t>15 Homes</w:t>
                  </w:r>
                </w:p>
              </w:tc>
              <w:tc>
                <w:tcPr>
                  <w:tcW w:w="116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16 Homes</w:t>
                  </w:r>
                </w:p>
              </w:tc>
              <w:tc>
                <w:tcPr>
                  <w:tcW w:w="1214" w:type="dxa"/>
                  <w:tcBorders>
                    <w:top w:val="single" w:sz="6" w:space="0" w:color="000000"/>
                    <w:left w:val="single" w:sz="6" w:space="0" w:color="000000"/>
                    <w:bottom w:val="single" w:sz="6" w:space="0" w:color="000000"/>
                    <w:right w:val="nil"/>
                  </w:tcBorders>
                  <w:shd w:val="clear" w:color="auto" w:fill="00FF00"/>
                  <w:vAlign w:val="center"/>
                </w:tcPr>
                <w:p w:rsidR="004D4A88" w:rsidRPr="004D4A88" w:rsidRDefault="004D4A88" w:rsidP="00700289">
                  <w:pPr>
                    <w:rPr>
                      <w:rFonts w:ascii="Arial" w:eastAsia="Times New Roman" w:hAnsi="Arial" w:cs="Arial"/>
                      <w:bCs/>
                    </w:rPr>
                  </w:pPr>
                </w:p>
              </w:tc>
              <w:tc>
                <w:tcPr>
                  <w:tcW w:w="686"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jc w:val="center"/>
                    <w:rPr>
                      <w:rFonts w:ascii="Arial" w:eastAsia="Times New Roman" w:hAnsi="Arial" w:cs="Arial"/>
                      <w:noProof/>
                    </w:rPr>
                  </w:pPr>
                  <w:r w:rsidRPr="004D4A88">
                    <w:rPr>
                      <w:rFonts w:ascii="Arial" w:eastAsia="Times New Roman" w:hAnsi="Arial" w:cs="Arial"/>
                      <w:noProof/>
                    </w:rPr>
                    <w:drawing>
                      <wp:inline distT="0" distB="0" distL="0" distR="0" wp14:anchorId="5CDC2E4A" wp14:editId="05E8A574">
                        <wp:extent cx="164465" cy="164465"/>
                        <wp:effectExtent l="0" t="0" r="6985"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714"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jc w:val="center"/>
                    <w:rPr>
                      <w:rFonts w:ascii="Arial" w:eastAsia="Times New Roman" w:hAnsi="Arial" w:cs="Arial"/>
                      <w:noProof/>
                    </w:rPr>
                  </w:pPr>
                  <w:r w:rsidRPr="004D4A88">
                    <w:rPr>
                      <w:rFonts w:ascii="Arial" w:eastAsia="Times New Roman" w:hAnsi="Arial" w:cs="Arial"/>
                      <w:noProof/>
                    </w:rPr>
                    <w:drawing>
                      <wp:inline distT="0" distB="0" distL="0" distR="0" wp14:anchorId="491FFB14" wp14:editId="6AF000FC">
                        <wp:extent cx="164465" cy="164465"/>
                        <wp:effectExtent l="0" t="0" r="698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On target.</w:t>
                  </w:r>
                </w:p>
              </w:tc>
            </w:tr>
            <w:tr w:rsidR="004D4A88" w:rsidRPr="00D915B0" w:rsidTr="006B7308">
              <w:trPr>
                <w:trHeight w:val="781"/>
                <w:tblCellSpacing w:w="0" w:type="dxa"/>
                <w:jc w:val="center"/>
              </w:trPr>
              <w:tc>
                <w:tcPr>
                  <w:tcW w:w="900"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CS002</w:t>
                  </w:r>
                </w:p>
              </w:tc>
              <w:tc>
                <w:tcPr>
                  <w:tcW w:w="2055"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Time to process changes in circumstances</w:t>
                  </w:r>
                  <w:r w:rsidR="00514365">
                    <w:rPr>
                      <w:rFonts w:ascii="Arial" w:eastAsia="Times New Roman" w:hAnsi="Arial" w:cs="Arial"/>
                      <w:bCs/>
                    </w:rPr>
                    <w:t>.</w:t>
                  </w:r>
                </w:p>
              </w:tc>
              <w:tc>
                <w:tcPr>
                  <w:tcW w:w="0" w:type="auto"/>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Helen Bishop</w:t>
                  </w:r>
                </w:p>
              </w:tc>
              <w:tc>
                <w:tcPr>
                  <w:tcW w:w="0" w:type="auto"/>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17 Days</w:t>
                  </w:r>
                </w:p>
              </w:tc>
              <w:tc>
                <w:tcPr>
                  <w:tcW w:w="969" w:type="dxa"/>
                  <w:tcBorders>
                    <w:left w:val="single" w:sz="6" w:space="0" w:color="000000"/>
                    <w:right w:val="single" w:sz="6" w:space="0" w:color="000000"/>
                  </w:tcBorders>
                  <w:shd w:val="clear" w:color="auto" w:fill="auto"/>
                  <w:vAlign w:val="center"/>
                </w:tcPr>
                <w:p w:rsidR="004D4A88" w:rsidRPr="004D4A88" w:rsidRDefault="004D4A88" w:rsidP="00700289">
                  <w:pPr>
                    <w:jc w:val="center"/>
                    <w:rPr>
                      <w:rFonts w:ascii="Arial" w:eastAsia="Times New Roman" w:hAnsi="Arial" w:cs="Arial"/>
                      <w:bCs/>
                    </w:rPr>
                  </w:pPr>
                  <w:r w:rsidRPr="004D4A88">
                    <w:rPr>
                      <w:rFonts w:ascii="Arial" w:eastAsia="Times New Roman" w:hAnsi="Arial" w:cs="Arial"/>
                      <w:bCs/>
                    </w:rPr>
                    <w:t>18 Days</w:t>
                  </w:r>
                </w:p>
              </w:tc>
              <w:tc>
                <w:tcPr>
                  <w:tcW w:w="933" w:type="dxa"/>
                  <w:tcBorders>
                    <w:left w:val="single" w:sz="6" w:space="0" w:color="000000"/>
                    <w:right w:val="nil"/>
                  </w:tcBorders>
                  <w:shd w:val="clear" w:color="auto" w:fill="auto"/>
                  <w:vAlign w:val="center"/>
                </w:tcPr>
                <w:p w:rsidR="004D4A88" w:rsidRPr="004D4A88" w:rsidRDefault="004D4A88" w:rsidP="00700289">
                  <w:pPr>
                    <w:jc w:val="center"/>
                    <w:rPr>
                      <w:rFonts w:ascii="Arial" w:eastAsia="Times New Roman" w:hAnsi="Arial" w:cs="Arial"/>
                      <w:bCs/>
                    </w:rPr>
                  </w:pPr>
                  <w:r w:rsidRPr="004D4A88">
                    <w:rPr>
                      <w:rFonts w:ascii="Arial" w:eastAsia="Times New Roman" w:hAnsi="Arial" w:cs="Arial"/>
                      <w:bCs/>
                    </w:rPr>
                    <w:t>14 Days</w:t>
                  </w:r>
                </w:p>
              </w:tc>
              <w:tc>
                <w:tcPr>
                  <w:tcW w:w="116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18 Days</w:t>
                  </w:r>
                </w:p>
              </w:tc>
              <w:tc>
                <w:tcPr>
                  <w:tcW w:w="1214" w:type="dxa"/>
                  <w:tcBorders>
                    <w:top w:val="single" w:sz="6" w:space="0" w:color="000000"/>
                    <w:left w:val="single" w:sz="6" w:space="0" w:color="000000"/>
                    <w:bottom w:val="single" w:sz="6" w:space="0" w:color="000000"/>
                    <w:right w:val="nil"/>
                  </w:tcBorders>
                  <w:shd w:val="clear" w:color="auto" w:fill="00FF00"/>
                  <w:vAlign w:val="center"/>
                </w:tcPr>
                <w:p w:rsidR="004D4A88" w:rsidRPr="004D4A88" w:rsidRDefault="004D4A88" w:rsidP="00700289">
                  <w:pPr>
                    <w:rPr>
                      <w:rFonts w:ascii="Arial" w:eastAsia="Times New Roman" w:hAnsi="Arial" w:cs="Arial"/>
                      <w:bCs/>
                    </w:rPr>
                  </w:pPr>
                </w:p>
              </w:tc>
              <w:tc>
                <w:tcPr>
                  <w:tcW w:w="686"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jc w:val="center"/>
                    <w:rPr>
                      <w:rFonts w:ascii="Arial" w:eastAsia="Times New Roman" w:hAnsi="Arial" w:cs="Arial"/>
                      <w:noProof/>
                    </w:rPr>
                  </w:pPr>
                  <w:r>
                    <w:rPr>
                      <w:rFonts w:ascii="Arial" w:eastAsia="Times New Roman" w:hAnsi="Arial" w:cs="Arial"/>
                      <w:noProof/>
                      <w:color w:val="FFFFFF"/>
                    </w:rPr>
                    <w:drawing>
                      <wp:inline distT="0" distB="0" distL="0" distR="0" wp14:anchorId="10350CD3" wp14:editId="5E39A80F">
                        <wp:extent cx="201295" cy="201295"/>
                        <wp:effectExtent l="0" t="0" r="8255"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714"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jc w:val="center"/>
                    <w:rPr>
                      <w:rFonts w:ascii="Arial" w:eastAsia="Times New Roman" w:hAnsi="Arial" w:cs="Arial"/>
                      <w:noProof/>
                    </w:rPr>
                  </w:pPr>
                  <w:r w:rsidRPr="004D4A88">
                    <w:rPr>
                      <w:rFonts w:ascii="Arial" w:eastAsia="Times New Roman" w:hAnsi="Arial" w:cs="Arial"/>
                      <w:noProof/>
                    </w:rPr>
                    <w:drawing>
                      <wp:inline distT="0" distB="0" distL="0" distR="0" wp14:anchorId="64F12422" wp14:editId="120420A5">
                        <wp:extent cx="164465" cy="164465"/>
                        <wp:effectExtent l="0" t="0" r="6985"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The Dec result was our best monthly result since April 2018.</w:t>
                  </w:r>
                </w:p>
                <w:p w:rsidR="004D4A88" w:rsidRPr="004D4A88" w:rsidRDefault="004D4A88" w:rsidP="00700289">
                  <w:pPr>
                    <w:rPr>
                      <w:rFonts w:ascii="Arial" w:eastAsia="Times New Roman" w:hAnsi="Arial" w:cs="Arial"/>
                      <w:bCs/>
                    </w:rPr>
                  </w:pPr>
                </w:p>
              </w:tc>
            </w:tr>
            <w:tr w:rsidR="004D4A88" w:rsidRPr="00D915B0" w:rsidTr="00514365">
              <w:trPr>
                <w:trHeight w:val="797"/>
                <w:tblCellSpacing w:w="0" w:type="dxa"/>
                <w:jc w:val="center"/>
              </w:trPr>
              <w:tc>
                <w:tcPr>
                  <w:tcW w:w="900"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CS005</w:t>
                  </w:r>
                </w:p>
              </w:tc>
              <w:tc>
                <w:tcPr>
                  <w:tcW w:w="2055"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Time to process new benefit claims</w:t>
                  </w:r>
                </w:p>
              </w:tc>
              <w:tc>
                <w:tcPr>
                  <w:tcW w:w="0" w:type="auto"/>
                  <w:tcBorders>
                    <w:top w:val="single" w:sz="6" w:space="0" w:color="000000"/>
                    <w:left w:val="single" w:sz="6" w:space="0" w:color="000000"/>
                    <w:bottom w:val="single" w:sz="6" w:space="0" w:color="000000"/>
                    <w:right w:val="nil"/>
                  </w:tcBorders>
                  <w:shd w:val="clear" w:color="auto" w:fill="auto"/>
                  <w:vAlign w:val="center"/>
                </w:tcPr>
                <w:p w:rsidR="004D4A88" w:rsidRPr="004D4A88" w:rsidRDefault="00B50726" w:rsidP="00700289">
                  <w:pPr>
                    <w:rPr>
                      <w:rFonts w:ascii="Arial" w:eastAsia="Times New Roman" w:hAnsi="Arial" w:cs="Arial"/>
                      <w:bCs/>
                    </w:rPr>
                  </w:pPr>
                  <w:r>
                    <w:rPr>
                      <w:rFonts w:ascii="Arial" w:eastAsia="Times New Roman" w:hAnsi="Arial" w:cs="Arial"/>
                      <w:bCs/>
                    </w:rPr>
                    <w:t>Nigel Kennedy</w:t>
                  </w:r>
                </w:p>
              </w:tc>
              <w:tc>
                <w:tcPr>
                  <w:tcW w:w="0" w:type="auto"/>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18.80 Days</w:t>
                  </w:r>
                </w:p>
              </w:tc>
              <w:tc>
                <w:tcPr>
                  <w:tcW w:w="969" w:type="dxa"/>
                  <w:tcBorders>
                    <w:left w:val="single" w:sz="6" w:space="0" w:color="000000"/>
                    <w:right w:val="single" w:sz="6" w:space="0" w:color="000000"/>
                  </w:tcBorders>
                  <w:shd w:val="clear" w:color="auto" w:fill="auto"/>
                  <w:vAlign w:val="center"/>
                </w:tcPr>
                <w:p w:rsidR="004D4A88" w:rsidRPr="004D4A88" w:rsidRDefault="004D4A88" w:rsidP="00700289">
                  <w:pPr>
                    <w:jc w:val="center"/>
                    <w:rPr>
                      <w:rFonts w:ascii="Arial" w:eastAsia="Times New Roman" w:hAnsi="Arial" w:cs="Arial"/>
                      <w:bCs/>
                    </w:rPr>
                  </w:pPr>
                  <w:r w:rsidRPr="004D4A88">
                    <w:rPr>
                      <w:rFonts w:ascii="Arial" w:eastAsia="Times New Roman" w:hAnsi="Arial" w:cs="Arial"/>
                      <w:bCs/>
                    </w:rPr>
                    <w:t>15.00 Days</w:t>
                  </w:r>
                </w:p>
              </w:tc>
              <w:tc>
                <w:tcPr>
                  <w:tcW w:w="933" w:type="dxa"/>
                  <w:tcBorders>
                    <w:left w:val="single" w:sz="6" w:space="0" w:color="000000"/>
                    <w:right w:val="nil"/>
                  </w:tcBorders>
                  <w:shd w:val="clear" w:color="auto" w:fill="auto"/>
                  <w:vAlign w:val="center"/>
                </w:tcPr>
                <w:p w:rsidR="004D4A88" w:rsidRPr="004D4A88" w:rsidRDefault="004D4A88" w:rsidP="00700289">
                  <w:pPr>
                    <w:jc w:val="center"/>
                    <w:rPr>
                      <w:rFonts w:ascii="Arial" w:eastAsia="Times New Roman" w:hAnsi="Arial" w:cs="Arial"/>
                      <w:bCs/>
                    </w:rPr>
                  </w:pPr>
                  <w:r w:rsidRPr="004D4A88">
                    <w:rPr>
                      <w:rFonts w:ascii="Arial" w:eastAsia="Times New Roman" w:hAnsi="Arial" w:cs="Arial"/>
                      <w:bCs/>
                    </w:rPr>
                    <w:t xml:space="preserve">13.52 Days </w:t>
                  </w:r>
                </w:p>
              </w:tc>
              <w:tc>
                <w:tcPr>
                  <w:tcW w:w="116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15.00 Days</w:t>
                  </w:r>
                </w:p>
              </w:tc>
              <w:tc>
                <w:tcPr>
                  <w:tcW w:w="1214" w:type="dxa"/>
                  <w:tcBorders>
                    <w:top w:val="single" w:sz="6" w:space="0" w:color="000000"/>
                    <w:left w:val="single" w:sz="6" w:space="0" w:color="000000"/>
                    <w:bottom w:val="single" w:sz="6" w:space="0" w:color="000000"/>
                    <w:right w:val="nil"/>
                  </w:tcBorders>
                  <w:shd w:val="clear" w:color="auto" w:fill="00FF00"/>
                  <w:vAlign w:val="center"/>
                </w:tcPr>
                <w:p w:rsidR="004D4A88" w:rsidRPr="00D915B0" w:rsidRDefault="004D4A88" w:rsidP="00700289">
                  <w:pPr>
                    <w:rPr>
                      <w:rFonts w:ascii="Arial" w:eastAsia="Times New Roman" w:hAnsi="Arial" w:cs="Arial"/>
                      <w:b/>
                      <w:bCs/>
                    </w:rPr>
                  </w:pPr>
                </w:p>
              </w:tc>
              <w:tc>
                <w:tcPr>
                  <w:tcW w:w="686" w:type="dxa"/>
                  <w:tcBorders>
                    <w:top w:val="single" w:sz="6" w:space="0" w:color="000000"/>
                    <w:left w:val="single" w:sz="6" w:space="0" w:color="000000"/>
                    <w:bottom w:val="single" w:sz="6" w:space="0" w:color="000000"/>
                    <w:right w:val="nil"/>
                  </w:tcBorders>
                  <w:shd w:val="clear" w:color="auto" w:fill="auto"/>
                  <w:vAlign w:val="center"/>
                </w:tcPr>
                <w:p w:rsidR="004D4A88" w:rsidRPr="00D915B0" w:rsidRDefault="004D4A88" w:rsidP="00700289">
                  <w:pPr>
                    <w:jc w:val="center"/>
                    <w:rPr>
                      <w:rFonts w:ascii="Arial" w:eastAsia="Times New Roman" w:hAnsi="Arial" w:cs="Arial"/>
                      <w:noProof/>
                    </w:rPr>
                  </w:pPr>
                  <w:r w:rsidRPr="004D4A88">
                    <w:rPr>
                      <w:rFonts w:ascii="Arial" w:eastAsia="Times New Roman" w:hAnsi="Arial" w:cs="Arial"/>
                      <w:noProof/>
                    </w:rPr>
                    <w:drawing>
                      <wp:inline distT="0" distB="0" distL="0" distR="0" wp14:anchorId="263AC618" wp14:editId="37CE4B94">
                        <wp:extent cx="164465" cy="164465"/>
                        <wp:effectExtent l="0" t="0" r="698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714" w:type="dxa"/>
                  <w:tcBorders>
                    <w:top w:val="single" w:sz="6" w:space="0" w:color="000000"/>
                    <w:left w:val="single" w:sz="6" w:space="0" w:color="000000"/>
                    <w:bottom w:val="single" w:sz="6" w:space="0" w:color="000000"/>
                    <w:right w:val="nil"/>
                  </w:tcBorders>
                  <w:shd w:val="clear" w:color="auto" w:fill="auto"/>
                  <w:vAlign w:val="center"/>
                </w:tcPr>
                <w:p w:rsidR="004D4A88" w:rsidRPr="00D915B0" w:rsidRDefault="004D4A88" w:rsidP="00700289">
                  <w:pPr>
                    <w:jc w:val="center"/>
                    <w:rPr>
                      <w:rFonts w:ascii="Arial" w:eastAsia="Times New Roman" w:hAnsi="Arial" w:cs="Arial"/>
                      <w:noProof/>
                    </w:rPr>
                  </w:pPr>
                  <w:r w:rsidRPr="004D4A88">
                    <w:rPr>
                      <w:rFonts w:ascii="Arial" w:eastAsia="Times New Roman" w:hAnsi="Arial" w:cs="Arial"/>
                      <w:noProof/>
                    </w:rPr>
                    <w:drawing>
                      <wp:inline distT="0" distB="0" distL="0" distR="0" wp14:anchorId="003643D6" wp14:editId="3CD51EC4">
                        <wp:extent cx="164465" cy="164465"/>
                        <wp:effectExtent l="0" t="0" r="6985"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4D4A88" w:rsidRPr="006B7308" w:rsidRDefault="006B7308" w:rsidP="00700289">
                  <w:pPr>
                    <w:rPr>
                      <w:rFonts w:ascii="Arial" w:eastAsia="Times New Roman" w:hAnsi="Arial" w:cs="Arial"/>
                      <w:bCs/>
                    </w:rPr>
                  </w:pPr>
                  <w:r w:rsidRPr="006B7308">
                    <w:rPr>
                      <w:rFonts w:ascii="Arial" w:eastAsia="Times New Roman" w:hAnsi="Arial" w:cs="Arial"/>
                      <w:bCs/>
                    </w:rPr>
                    <w:t>There were 163 New Claims processed in December in an average of 14.12 days. This result was comfortably within the target of 15 days.  Our year to date result at 31/12 was 13.52 days. The fact that the equivalent result in 2017/18 was 19.82 days emphasises the improvements made in the current year</w:t>
                  </w:r>
                </w:p>
              </w:tc>
            </w:tr>
            <w:tr w:rsidR="004D4A88" w:rsidRPr="00D915B0" w:rsidTr="00514365">
              <w:trPr>
                <w:tblCellSpacing w:w="0" w:type="dxa"/>
                <w:jc w:val="center"/>
              </w:trPr>
              <w:tc>
                <w:tcPr>
                  <w:tcW w:w="900"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rPr>
                      <w:rFonts w:ascii="Arial" w:eastAsia="Times New Roman" w:hAnsi="Arial" w:cs="Arial"/>
                      <w:bCs/>
                    </w:rPr>
                  </w:pPr>
                  <w:r>
                    <w:rPr>
                      <w:rFonts w:ascii="Arial" w:eastAsia="Times New Roman" w:hAnsi="Arial" w:cs="Arial"/>
                      <w:bCs/>
                    </w:rPr>
                    <w:t>HC003</w:t>
                  </w:r>
                </w:p>
              </w:tc>
              <w:tc>
                <w:tcPr>
                  <w:tcW w:w="2055"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rPr>
                      <w:rFonts w:ascii="Arial" w:eastAsia="Times New Roman" w:hAnsi="Arial" w:cs="Arial"/>
                      <w:bCs/>
                    </w:rPr>
                  </w:pPr>
                  <w:r>
                    <w:rPr>
                      <w:rFonts w:ascii="Arial" w:eastAsia="Times New Roman" w:hAnsi="Arial" w:cs="Arial"/>
                      <w:bCs/>
                    </w:rPr>
                    <w:t>Homeless Acceptances</w:t>
                  </w:r>
                </w:p>
              </w:tc>
              <w:tc>
                <w:tcPr>
                  <w:tcW w:w="0" w:type="auto"/>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rPr>
                      <w:rFonts w:ascii="Arial" w:eastAsia="Times New Roman" w:hAnsi="Arial" w:cs="Arial"/>
                      <w:bCs/>
                    </w:rPr>
                  </w:pPr>
                  <w:r>
                    <w:rPr>
                      <w:rFonts w:ascii="Arial" w:eastAsia="Times New Roman" w:hAnsi="Arial" w:cs="Arial"/>
                      <w:bCs/>
                    </w:rPr>
                    <w:t>Stephen Clarke</w:t>
                  </w:r>
                </w:p>
              </w:tc>
              <w:tc>
                <w:tcPr>
                  <w:tcW w:w="0" w:type="auto"/>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Pr="004D4A88" w:rsidRDefault="004D4A88" w:rsidP="00700289">
                  <w:pPr>
                    <w:rPr>
                      <w:rFonts w:ascii="Arial" w:eastAsia="Times New Roman" w:hAnsi="Arial" w:cs="Arial"/>
                      <w:bCs/>
                    </w:rPr>
                  </w:pPr>
                  <w:r>
                    <w:rPr>
                      <w:rFonts w:ascii="Arial" w:eastAsia="Times New Roman" w:hAnsi="Arial" w:cs="Arial"/>
                      <w:bCs/>
                    </w:rPr>
                    <w:t>99 Number</w:t>
                  </w:r>
                </w:p>
              </w:tc>
              <w:tc>
                <w:tcPr>
                  <w:tcW w:w="969" w:type="dxa"/>
                  <w:tcBorders>
                    <w:left w:val="single" w:sz="6" w:space="0" w:color="000000"/>
                    <w:right w:val="single" w:sz="6" w:space="0" w:color="000000"/>
                  </w:tcBorders>
                  <w:shd w:val="clear" w:color="auto" w:fill="auto"/>
                  <w:vAlign w:val="center"/>
                </w:tcPr>
                <w:p w:rsidR="004D4A88" w:rsidRPr="004D4A88" w:rsidRDefault="004D4A88" w:rsidP="00700289">
                  <w:pPr>
                    <w:jc w:val="center"/>
                    <w:rPr>
                      <w:rFonts w:ascii="Arial" w:eastAsia="Times New Roman" w:hAnsi="Arial" w:cs="Arial"/>
                      <w:bCs/>
                    </w:rPr>
                  </w:pPr>
                  <w:r>
                    <w:rPr>
                      <w:rFonts w:ascii="Arial" w:eastAsia="Times New Roman" w:hAnsi="Arial" w:cs="Arial"/>
                      <w:bCs/>
                    </w:rPr>
                    <w:t>82 Number</w:t>
                  </w:r>
                </w:p>
              </w:tc>
              <w:tc>
                <w:tcPr>
                  <w:tcW w:w="933" w:type="dxa"/>
                  <w:tcBorders>
                    <w:left w:val="single" w:sz="6" w:space="0" w:color="000000"/>
                    <w:right w:val="nil"/>
                  </w:tcBorders>
                  <w:shd w:val="clear" w:color="auto" w:fill="auto"/>
                  <w:vAlign w:val="center"/>
                </w:tcPr>
                <w:p w:rsidR="004D4A88" w:rsidRPr="004D4A88" w:rsidRDefault="004D4A88" w:rsidP="00700289">
                  <w:pPr>
                    <w:jc w:val="center"/>
                    <w:rPr>
                      <w:rFonts w:ascii="Arial" w:eastAsia="Times New Roman" w:hAnsi="Arial" w:cs="Arial"/>
                      <w:bCs/>
                    </w:rPr>
                  </w:pPr>
                  <w:r>
                    <w:rPr>
                      <w:rFonts w:ascii="Arial" w:eastAsia="Times New Roman" w:hAnsi="Arial" w:cs="Arial"/>
                      <w:bCs/>
                    </w:rPr>
                    <w:t>65 Number</w:t>
                  </w:r>
                </w:p>
              </w:tc>
              <w:tc>
                <w:tcPr>
                  <w:tcW w:w="116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Pr="004D4A88" w:rsidRDefault="004D4A88" w:rsidP="00700289">
                  <w:pPr>
                    <w:rPr>
                      <w:rFonts w:ascii="Arial" w:eastAsia="Times New Roman" w:hAnsi="Arial" w:cs="Arial"/>
                      <w:bCs/>
                    </w:rPr>
                  </w:pPr>
                  <w:r>
                    <w:rPr>
                      <w:rFonts w:ascii="Arial" w:eastAsia="Times New Roman" w:hAnsi="Arial" w:cs="Arial"/>
                      <w:bCs/>
                    </w:rPr>
                    <w:t>110 Number</w:t>
                  </w:r>
                </w:p>
              </w:tc>
              <w:tc>
                <w:tcPr>
                  <w:tcW w:w="1214" w:type="dxa"/>
                  <w:tcBorders>
                    <w:top w:val="single" w:sz="6" w:space="0" w:color="000000"/>
                    <w:left w:val="single" w:sz="6" w:space="0" w:color="000000"/>
                    <w:bottom w:val="single" w:sz="6" w:space="0" w:color="000000"/>
                    <w:right w:val="nil"/>
                  </w:tcBorders>
                  <w:shd w:val="clear" w:color="auto" w:fill="00FF00"/>
                  <w:vAlign w:val="center"/>
                </w:tcPr>
                <w:p w:rsidR="004D4A88" w:rsidRPr="00D915B0" w:rsidRDefault="004D4A88" w:rsidP="00700289">
                  <w:pPr>
                    <w:rPr>
                      <w:rFonts w:ascii="Arial" w:eastAsia="Times New Roman" w:hAnsi="Arial" w:cs="Arial"/>
                      <w:b/>
                      <w:bCs/>
                    </w:rPr>
                  </w:pPr>
                </w:p>
              </w:tc>
              <w:tc>
                <w:tcPr>
                  <w:tcW w:w="686"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jc w:val="center"/>
                    <w:rPr>
                      <w:rFonts w:ascii="Arial" w:eastAsia="Times New Roman" w:hAnsi="Arial" w:cs="Arial"/>
                      <w:noProof/>
                    </w:rPr>
                  </w:pPr>
                  <w:r w:rsidRPr="00D915B0">
                    <w:rPr>
                      <w:rFonts w:ascii="Arial" w:eastAsia="Times New Roman" w:hAnsi="Arial" w:cs="Arial"/>
                      <w:noProof/>
                    </w:rPr>
                    <w:drawing>
                      <wp:inline distT="0" distB="0" distL="0" distR="0" wp14:anchorId="570A1D9E" wp14:editId="3A1F2B83">
                        <wp:extent cx="164465" cy="164465"/>
                        <wp:effectExtent l="0" t="0" r="6985"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714" w:type="dxa"/>
                  <w:tcBorders>
                    <w:top w:val="single" w:sz="6" w:space="0" w:color="000000"/>
                    <w:left w:val="single" w:sz="6" w:space="0" w:color="000000"/>
                    <w:bottom w:val="single" w:sz="6" w:space="0" w:color="000000"/>
                    <w:right w:val="nil"/>
                  </w:tcBorders>
                  <w:shd w:val="clear" w:color="auto" w:fill="auto"/>
                  <w:vAlign w:val="center"/>
                </w:tcPr>
                <w:p w:rsidR="004D4A88" w:rsidRPr="004D4A88" w:rsidRDefault="004D4A88" w:rsidP="00700289">
                  <w:pPr>
                    <w:jc w:val="center"/>
                    <w:rPr>
                      <w:rFonts w:ascii="Arial" w:eastAsia="Times New Roman" w:hAnsi="Arial" w:cs="Arial"/>
                      <w:noProof/>
                    </w:rPr>
                  </w:pPr>
                  <w:r w:rsidRPr="004D4A88">
                    <w:rPr>
                      <w:rFonts w:ascii="Arial" w:eastAsia="Times New Roman" w:hAnsi="Arial" w:cs="Arial"/>
                      <w:noProof/>
                    </w:rPr>
                    <w:drawing>
                      <wp:inline distT="0" distB="0" distL="0" distR="0" wp14:anchorId="58D516C2" wp14:editId="01D6E5F9">
                        <wp:extent cx="164465" cy="164465"/>
                        <wp:effectExtent l="0" t="0" r="6985"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4D4A88" w:rsidRPr="004D4A88" w:rsidRDefault="004D4A88" w:rsidP="00700289">
                  <w:pPr>
                    <w:rPr>
                      <w:rFonts w:ascii="Arial" w:eastAsia="Times New Roman" w:hAnsi="Arial" w:cs="Arial"/>
                      <w:bCs/>
                    </w:rPr>
                  </w:pPr>
                  <w:r w:rsidRPr="004D4A88">
                    <w:rPr>
                      <w:rFonts w:ascii="Arial" w:eastAsia="Times New Roman" w:hAnsi="Arial" w:cs="Arial"/>
                      <w:bCs/>
                    </w:rPr>
                    <w:t>On target.</w:t>
                  </w:r>
                </w:p>
              </w:tc>
            </w:tr>
            <w:tr w:rsidR="004D4A88" w:rsidRPr="00D915B0" w:rsidTr="00514365">
              <w:trPr>
                <w:trHeight w:val="734"/>
                <w:tblCellSpacing w:w="0" w:type="dxa"/>
                <w:jc w:val="center"/>
              </w:trPr>
              <w:tc>
                <w:tcPr>
                  <w:tcW w:w="900" w:type="dxa"/>
                  <w:tcBorders>
                    <w:top w:val="single" w:sz="6" w:space="0" w:color="000000"/>
                    <w:left w:val="single" w:sz="6" w:space="0" w:color="000000"/>
                    <w:bottom w:val="single" w:sz="6" w:space="0" w:color="000000"/>
                    <w:right w:val="nil"/>
                  </w:tcBorders>
                  <w:shd w:val="clear" w:color="auto" w:fill="auto"/>
                  <w:vAlign w:val="center"/>
                </w:tcPr>
                <w:p w:rsidR="004D4A88" w:rsidRDefault="004D4A88" w:rsidP="00700289">
                  <w:pPr>
                    <w:rPr>
                      <w:rFonts w:ascii="Arial" w:eastAsia="Times New Roman" w:hAnsi="Arial" w:cs="Arial"/>
                      <w:bCs/>
                    </w:rPr>
                  </w:pPr>
                  <w:r>
                    <w:rPr>
                      <w:rFonts w:ascii="Arial" w:eastAsia="Times New Roman" w:hAnsi="Arial" w:cs="Arial"/>
                      <w:bCs/>
                    </w:rPr>
                    <w:t>HC004</w:t>
                  </w:r>
                </w:p>
              </w:tc>
              <w:tc>
                <w:tcPr>
                  <w:tcW w:w="2055" w:type="dxa"/>
                  <w:tcBorders>
                    <w:top w:val="single" w:sz="6" w:space="0" w:color="000000"/>
                    <w:left w:val="single" w:sz="6" w:space="0" w:color="000000"/>
                    <w:bottom w:val="single" w:sz="6" w:space="0" w:color="000000"/>
                    <w:right w:val="nil"/>
                  </w:tcBorders>
                  <w:shd w:val="clear" w:color="auto" w:fill="auto"/>
                  <w:vAlign w:val="center"/>
                </w:tcPr>
                <w:p w:rsidR="004D4A88" w:rsidRDefault="004D4A88" w:rsidP="00700289">
                  <w:pPr>
                    <w:rPr>
                      <w:rFonts w:ascii="Arial" w:eastAsia="Times New Roman" w:hAnsi="Arial" w:cs="Arial"/>
                      <w:bCs/>
                    </w:rPr>
                  </w:pPr>
                  <w:r>
                    <w:rPr>
                      <w:rFonts w:ascii="Arial" w:eastAsia="Times New Roman" w:hAnsi="Arial" w:cs="Arial"/>
                      <w:bCs/>
                    </w:rPr>
                    <w:t>Homelessness cases prevented</w:t>
                  </w:r>
                </w:p>
              </w:tc>
              <w:tc>
                <w:tcPr>
                  <w:tcW w:w="0" w:type="auto"/>
                  <w:tcBorders>
                    <w:top w:val="single" w:sz="6" w:space="0" w:color="000000"/>
                    <w:left w:val="single" w:sz="6" w:space="0" w:color="000000"/>
                    <w:bottom w:val="single" w:sz="6" w:space="0" w:color="000000"/>
                    <w:right w:val="nil"/>
                  </w:tcBorders>
                  <w:shd w:val="clear" w:color="auto" w:fill="auto"/>
                  <w:vAlign w:val="center"/>
                </w:tcPr>
                <w:p w:rsidR="004D4A88" w:rsidRDefault="004D4A88" w:rsidP="00700289">
                  <w:pPr>
                    <w:rPr>
                      <w:rFonts w:ascii="Arial" w:eastAsia="Times New Roman" w:hAnsi="Arial" w:cs="Arial"/>
                      <w:bCs/>
                    </w:rPr>
                  </w:pPr>
                  <w:r>
                    <w:rPr>
                      <w:rFonts w:ascii="Arial" w:eastAsia="Times New Roman" w:hAnsi="Arial" w:cs="Arial"/>
                      <w:bCs/>
                    </w:rPr>
                    <w:t>Stephen Clarke</w:t>
                  </w:r>
                </w:p>
              </w:tc>
              <w:tc>
                <w:tcPr>
                  <w:tcW w:w="0" w:type="auto"/>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Default="009E3FA5" w:rsidP="00700289">
                  <w:pPr>
                    <w:rPr>
                      <w:rFonts w:ascii="Arial" w:eastAsia="Times New Roman" w:hAnsi="Arial" w:cs="Arial"/>
                      <w:bCs/>
                    </w:rPr>
                  </w:pPr>
                  <w:r>
                    <w:rPr>
                      <w:rFonts w:ascii="Arial" w:eastAsia="Times New Roman" w:hAnsi="Arial" w:cs="Arial"/>
                      <w:bCs/>
                    </w:rPr>
                    <w:t>1,159 Number</w:t>
                  </w:r>
                </w:p>
              </w:tc>
              <w:tc>
                <w:tcPr>
                  <w:tcW w:w="969" w:type="dxa"/>
                  <w:tcBorders>
                    <w:left w:val="single" w:sz="6" w:space="0" w:color="000000"/>
                    <w:right w:val="single" w:sz="6" w:space="0" w:color="000000"/>
                  </w:tcBorders>
                  <w:shd w:val="clear" w:color="auto" w:fill="auto"/>
                  <w:vAlign w:val="center"/>
                </w:tcPr>
                <w:p w:rsidR="004D4A88" w:rsidRDefault="009E3FA5" w:rsidP="00700289">
                  <w:pPr>
                    <w:jc w:val="center"/>
                    <w:rPr>
                      <w:rFonts w:ascii="Arial" w:eastAsia="Times New Roman" w:hAnsi="Arial" w:cs="Arial"/>
                      <w:bCs/>
                    </w:rPr>
                  </w:pPr>
                  <w:r>
                    <w:rPr>
                      <w:rFonts w:ascii="Arial" w:eastAsia="Times New Roman" w:hAnsi="Arial" w:cs="Arial"/>
                      <w:bCs/>
                    </w:rPr>
                    <w:t>825 Number</w:t>
                  </w:r>
                </w:p>
              </w:tc>
              <w:tc>
                <w:tcPr>
                  <w:tcW w:w="933" w:type="dxa"/>
                  <w:tcBorders>
                    <w:left w:val="single" w:sz="6" w:space="0" w:color="000000"/>
                    <w:right w:val="nil"/>
                  </w:tcBorders>
                  <w:shd w:val="clear" w:color="auto" w:fill="auto"/>
                  <w:vAlign w:val="center"/>
                </w:tcPr>
                <w:p w:rsidR="004D4A88" w:rsidRDefault="004D4A88" w:rsidP="00700289">
                  <w:pPr>
                    <w:jc w:val="center"/>
                    <w:rPr>
                      <w:rFonts w:ascii="Arial" w:eastAsia="Times New Roman" w:hAnsi="Arial" w:cs="Arial"/>
                      <w:bCs/>
                    </w:rPr>
                  </w:pPr>
                </w:p>
              </w:tc>
              <w:tc>
                <w:tcPr>
                  <w:tcW w:w="116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Default="00514365" w:rsidP="00700289">
                  <w:pPr>
                    <w:rPr>
                      <w:rFonts w:ascii="Arial" w:eastAsia="Times New Roman" w:hAnsi="Arial" w:cs="Arial"/>
                      <w:bCs/>
                    </w:rPr>
                  </w:pPr>
                  <w:r>
                    <w:rPr>
                      <w:rFonts w:ascii="Arial" w:eastAsia="Times New Roman" w:hAnsi="Arial" w:cs="Arial"/>
                      <w:bCs/>
                    </w:rPr>
                    <w:t>1,100 Number</w:t>
                  </w:r>
                </w:p>
              </w:tc>
              <w:tc>
                <w:tcPr>
                  <w:tcW w:w="121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Pr="00D915B0" w:rsidRDefault="00514365" w:rsidP="00514365">
                  <w:pPr>
                    <w:jc w:val="center"/>
                    <w:rPr>
                      <w:rFonts w:ascii="Arial" w:eastAsia="Times New Roman" w:hAnsi="Arial" w:cs="Arial"/>
                      <w:b/>
                      <w:bCs/>
                    </w:rPr>
                  </w:pPr>
                  <w:r>
                    <w:rPr>
                      <w:rFonts w:ascii="Arial" w:eastAsia="Times New Roman" w:hAnsi="Arial" w:cs="Arial"/>
                      <w:b/>
                      <w:bCs/>
                    </w:rPr>
                    <w:t>null</w:t>
                  </w:r>
                </w:p>
              </w:tc>
              <w:tc>
                <w:tcPr>
                  <w:tcW w:w="686"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Pr="00D915B0" w:rsidRDefault="004D4A88" w:rsidP="00700289">
                  <w:pPr>
                    <w:jc w:val="center"/>
                    <w:rPr>
                      <w:rFonts w:ascii="Arial" w:eastAsia="Times New Roman" w:hAnsi="Arial" w:cs="Arial"/>
                      <w:noProof/>
                    </w:rPr>
                  </w:pPr>
                </w:p>
              </w:tc>
              <w:tc>
                <w:tcPr>
                  <w:tcW w:w="71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4D4A88" w:rsidRPr="004D4A88" w:rsidRDefault="004D4A88" w:rsidP="00700289">
                  <w:pPr>
                    <w:jc w:val="center"/>
                    <w:rPr>
                      <w:rFonts w:ascii="Arial" w:eastAsia="Times New Roman" w:hAnsi="Arial" w:cs="Arial"/>
                      <w:noProof/>
                    </w:rPr>
                  </w:pP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DC747F" w:rsidRPr="00DC747F" w:rsidRDefault="00DC747F" w:rsidP="00DC747F">
                  <w:pPr>
                    <w:rPr>
                      <w:rFonts w:ascii="Arial" w:hAnsi="Arial" w:cs="Arial"/>
                    </w:rPr>
                  </w:pPr>
                  <w:r w:rsidRPr="00DC747F">
                    <w:rPr>
                      <w:rFonts w:ascii="Arial" w:eastAsia="Times New Roman" w:hAnsi="Arial" w:cs="Arial"/>
                    </w:rPr>
                    <w:t xml:space="preserve">Please note, </w:t>
                  </w:r>
                  <w:r w:rsidRPr="00DC747F">
                    <w:rPr>
                      <w:rFonts w:ascii="Arial" w:hAnsi="Arial" w:cs="Arial"/>
                    </w:rPr>
                    <w:t xml:space="preserve">the Council has changed the way it records homeless prevention and will need to revise the stats for April to September. </w:t>
                  </w:r>
                  <w:r>
                    <w:rPr>
                      <w:rFonts w:ascii="Arial" w:hAnsi="Arial" w:cs="Arial"/>
                    </w:rPr>
                    <w:t>We are only</w:t>
                  </w:r>
                  <w:r w:rsidRPr="00DC747F">
                    <w:rPr>
                      <w:rFonts w:ascii="Arial" w:hAnsi="Arial" w:cs="Arial"/>
                    </w:rPr>
                    <w:t xml:space="preserve"> able to give monthly figures – which </w:t>
                  </w:r>
                  <w:proofErr w:type="gramStart"/>
                  <w:r w:rsidRPr="00DC747F">
                    <w:rPr>
                      <w:rFonts w:ascii="Arial" w:hAnsi="Arial" w:cs="Arial"/>
                    </w:rPr>
                    <w:t>was</w:t>
                  </w:r>
                  <w:proofErr w:type="gramEnd"/>
                  <w:r w:rsidRPr="00DC747F">
                    <w:rPr>
                      <w:rFonts w:ascii="Arial" w:hAnsi="Arial" w:cs="Arial"/>
                    </w:rPr>
                    <w:t xml:space="preserve"> 73 for December – and not a cumulative year to date figure.</w:t>
                  </w:r>
                  <w:bookmarkStart w:id="0" w:name="_GoBack"/>
                  <w:bookmarkEnd w:id="0"/>
                </w:p>
                <w:p w:rsidR="006B7308" w:rsidRPr="004D4A88" w:rsidRDefault="006B7308" w:rsidP="00700289">
                  <w:pPr>
                    <w:rPr>
                      <w:rFonts w:ascii="Arial" w:eastAsia="Times New Roman" w:hAnsi="Arial" w:cs="Arial"/>
                      <w:bCs/>
                    </w:rPr>
                  </w:pPr>
                </w:p>
              </w:tc>
            </w:tr>
            <w:tr w:rsidR="00514365" w:rsidRPr="00D915B0" w:rsidTr="00514365">
              <w:trPr>
                <w:trHeight w:val="1227"/>
                <w:tblCellSpacing w:w="0" w:type="dxa"/>
                <w:jc w:val="center"/>
              </w:trPr>
              <w:tc>
                <w:tcPr>
                  <w:tcW w:w="900" w:type="dxa"/>
                  <w:tcBorders>
                    <w:top w:val="single" w:sz="6" w:space="0" w:color="000000"/>
                    <w:left w:val="single" w:sz="6" w:space="0" w:color="000000"/>
                    <w:bottom w:val="single" w:sz="6" w:space="0" w:color="000000"/>
                    <w:right w:val="nil"/>
                  </w:tcBorders>
                  <w:shd w:val="clear" w:color="auto" w:fill="auto"/>
                  <w:vAlign w:val="center"/>
                </w:tcPr>
                <w:p w:rsidR="00514365" w:rsidRDefault="00514365" w:rsidP="00700289">
                  <w:pPr>
                    <w:rPr>
                      <w:rFonts w:ascii="Arial" w:eastAsia="Times New Roman" w:hAnsi="Arial" w:cs="Arial"/>
                      <w:bCs/>
                    </w:rPr>
                  </w:pPr>
                  <w:r>
                    <w:rPr>
                      <w:rFonts w:ascii="Arial" w:eastAsia="Times New Roman" w:hAnsi="Arial" w:cs="Arial"/>
                      <w:bCs/>
                    </w:rPr>
                    <w:lastRenderedPageBreak/>
                    <w:t>HP006</w:t>
                  </w:r>
                </w:p>
              </w:tc>
              <w:tc>
                <w:tcPr>
                  <w:tcW w:w="2055" w:type="dxa"/>
                  <w:tcBorders>
                    <w:top w:val="single" w:sz="6" w:space="0" w:color="000000"/>
                    <w:left w:val="single" w:sz="6" w:space="0" w:color="000000"/>
                    <w:bottom w:val="single" w:sz="6" w:space="0" w:color="000000"/>
                    <w:right w:val="nil"/>
                  </w:tcBorders>
                  <w:shd w:val="clear" w:color="auto" w:fill="auto"/>
                  <w:vAlign w:val="center"/>
                </w:tcPr>
                <w:p w:rsidR="00514365" w:rsidRDefault="00514365" w:rsidP="00700289">
                  <w:pPr>
                    <w:rPr>
                      <w:rFonts w:ascii="Arial" w:eastAsia="Times New Roman" w:hAnsi="Arial" w:cs="Arial"/>
                      <w:bCs/>
                    </w:rPr>
                  </w:pPr>
                  <w:r>
                    <w:rPr>
                      <w:rFonts w:ascii="Arial" w:eastAsia="Times New Roman" w:hAnsi="Arial" w:cs="Arial"/>
                      <w:bCs/>
                    </w:rPr>
                    <w:t>Total number of affordable homes completed in a year</w:t>
                  </w:r>
                </w:p>
              </w:tc>
              <w:tc>
                <w:tcPr>
                  <w:tcW w:w="0" w:type="auto"/>
                  <w:tcBorders>
                    <w:top w:val="single" w:sz="6" w:space="0" w:color="000000"/>
                    <w:left w:val="single" w:sz="6" w:space="0" w:color="000000"/>
                    <w:bottom w:val="single" w:sz="6" w:space="0" w:color="000000"/>
                    <w:right w:val="nil"/>
                  </w:tcBorders>
                  <w:shd w:val="clear" w:color="auto" w:fill="auto"/>
                  <w:vAlign w:val="center"/>
                </w:tcPr>
                <w:p w:rsidR="00514365" w:rsidRDefault="00514365" w:rsidP="00700289">
                  <w:pPr>
                    <w:rPr>
                      <w:rFonts w:ascii="Arial" w:eastAsia="Times New Roman" w:hAnsi="Arial" w:cs="Arial"/>
                      <w:bCs/>
                    </w:rPr>
                  </w:pPr>
                  <w:r>
                    <w:rPr>
                      <w:rFonts w:ascii="Arial" w:eastAsia="Times New Roman" w:hAnsi="Arial" w:cs="Arial"/>
                      <w:bCs/>
                    </w:rPr>
                    <w:t>Stephen Clarke</w:t>
                  </w:r>
                </w:p>
              </w:tc>
              <w:tc>
                <w:tcPr>
                  <w:tcW w:w="0" w:type="auto"/>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514365" w:rsidRDefault="00514365" w:rsidP="00700289">
                  <w:pPr>
                    <w:rPr>
                      <w:rFonts w:ascii="Arial" w:eastAsia="Times New Roman" w:hAnsi="Arial" w:cs="Arial"/>
                      <w:bCs/>
                    </w:rPr>
                  </w:pPr>
                  <w:r>
                    <w:rPr>
                      <w:rFonts w:ascii="Arial" w:eastAsia="Times New Roman" w:hAnsi="Arial" w:cs="Arial"/>
                      <w:bCs/>
                    </w:rPr>
                    <w:t>45 Number</w:t>
                  </w:r>
                </w:p>
              </w:tc>
              <w:tc>
                <w:tcPr>
                  <w:tcW w:w="969" w:type="dxa"/>
                  <w:tcBorders>
                    <w:left w:val="single" w:sz="6" w:space="0" w:color="000000"/>
                    <w:right w:val="single" w:sz="6" w:space="0" w:color="000000"/>
                  </w:tcBorders>
                  <w:shd w:val="clear" w:color="auto" w:fill="auto"/>
                  <w:vAlign w:val="center"/>
                </w:tcPr>
                <w:p w:rsidR="00514365" w:rsidRDefault="00514365" w:rsidP="00700289">
                  <w:pPr>
                    <w:jc w:val="center"/>
                    <w:rPr>
                      <w:rFonts w:ascii="Arial" w:eastAsia="Times New Roman" w:hAnsi="Arial" w:cs="Arial"/>
                      <w:bCs/>
                    </w:rPr>
                  </w:pPr>
                  <w:r>
                    <w:rPr>
                      <w:rFonts w:ascii="Arial" w:eastAsia="Times New Roman" w:hAnsi="Arial" w:cs="Arial"/>
                      <w:bCs/>
                    </w:rPr>
                    <w:t>101 Number</w:t>
                  </w:r>
                </w:p>
              </w:tc>
              <w:tc>
                <w:tcPr>
                  <w:tcW w:w="933" w:type="dxa"/>
                  <w:tcBorders>
                    <w:left w:val="single" w:sz="6" w:space="0" w:color="000000"/>
                    <w:right w:val="nil"/>
                  </w:tcBorders>
                  <w:shd w:val="clear" w:color="auto" w:fill="auto"/>
                  <w:vAlign w:val="center"/>
                </w:tcPr>
                <w:p w:rsidR="00514365" w:rsidRDefault="00514365" w:rsidP="00700289">
                  <w:pPr>
                    <w:jc w:val="center"/>
                    <w:rPr>
                      <w:rFonts w:ascii="Arial" w:eastAsia="Times New Roman" w:hAnsi="Arial" w:cs="Arial"/>
                      <w:bCs/>
                    </w:rPr>
                  </w:pPr>
                  <w:r>
                    <w:rPr>
                      <w:rFonts w:ascii="Arial" w:eastAsia="Times New Roman" w:hAnsi="Arial" w:cs="Arial"/>
                      <w:bCs/>
                    </w:rPr>
                    <w:t>79 Number</w:t>
                  </w:r>
                </w:p>
              </w:tc>
              <w:tc>
                <w:tcPr>
                  <w:tcW w:w="1164"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rsidR="00514365" w:rsidRDefault="00514365" w:rsidP="00700289">
                  <w:pPr>
                    <w:rPr>
                      <w:rFonts w:ascii="Arial" w:eastAsia="Times New Roman" w:hAnsi="Arial" w:cs="Arial"/>
                      <w:bCs/>
                    </w:rPr>
                  </w:pPr>
                  <w:r>
                    <w:rPr>
                      <w:rFonts w:ascii="Arial" w:eastAsia="Times New Roman" w:hAnsi="Arial" w:cs="Arial"/>
                      <w:bCs/>
                    </w:rPr>
                    <w:t>135 Number</w:t>
                  </w:r>
                </w:p>
              </w:tc>
              <w:tc>
                <w:tcPr>
                  <w:tcW w:w="1214" w:type="dxa"/>
                  <w:tcBorders>
                    <w:top w:val="single" w:sz="6" w:space="0" w:color="000000"/>
                    <w:left w:val="single" w:sz="6" w:space="0" w:color="000000"/>
                    <w:bottom w:val="single" w:sz="6" w:space="0" w:color="000000"/>
                    <w:right w:val="nil"/>
                  </w:tcBorders>
                  <w:shd w:val="clear" w:color="auto" w:fill="FF0000"/>
                  <w:vAlign w:val="center"/>
                </w:tcPr>
                <w:p w:rsidR="00514365" w:rsidRPr="00514365" w:rsidRDefault="00514365" w:rsidP="00514365">
                  <w:pPr>
                    <w:jc w:val="center"/>
                    <w:rPr>
                      <w:rFonts w:ascii="Arial" w:eastAsia="Times New Roman" w:hAnsi="Arial" w:cs="Arial"/>
                      <w:b/>
                      <w:bCs/>
                      <w:color w:val="FFFFFF" w:themeColor="background1"/>
                    </w:rPr>
                  </w:pPr>
                  <w:r w:rsidRPr="00514365">
                    <w:rPr>
                      <w:rFonts w:ascii="Arial" w:eastAsia="Times New Roman" w:hAnsi="Arial" w:cs="Arial"/>
                      <w:b/>
                      <w:bCs/>
                      <w:color w:val="FFFFFF" w:themeColor="background1"/>
                    </w:rPr>
                    <w:t>R</w:t>
                  </w:r>
                </w:p>
              </w:tc>
              <w:tc>
                <w:tcPr>
                  <w:tcW w:w="686" w:type="dxa"/>
                  <w:tcBorders>
                    <w:top w:val="single" w:sz="6" w:space="0" w:color="000000"/>
                    <w:left w:val="single" w:sz="6" w:space="0" w:color="000000"/>
                    <w:bottom w:val="single" w:sz="6" w:space="0" w:color="000000"/>
                    <w:right w:val="nil"/>
                  </w:tcBorders>
                  <w:shd w:val="clear" w:color="auto" w:fill="auto"/>
                  <w:vAlign w:val="center"/>
                </w:tcPr>
                <w:p w:rsidR="00514365" w:rsidRPr="00D915B0" w:rsidRDefault="00514365" w:rsidP="00700289">
                  <w:pPr>
                    <w:jc w:val="center"/>
                    <w:rPr>
                      <w:rFonts w:ascii="Arial" w:eastAsia="Times New Roman" w:hAnsi="Arial" w:cs="Arial"/>
                      <w:noProof/>
                    </w:rPr>
                  </w:pPr>
                  <w:r w:rsidRPr="004D4A88">
                    <w:rPr>
                      <w:rFonts w:ascii="Arial" w:eastAsia="Times New Roman" w:hAnsi="Arial" w:cs="Arial"/>
                      <w:noProof/>
                    </w:rPr>
                    <w:drawing>
                      <wp:inline distT="0" distB="0" distL="0" distR="0" wp14:anchorId="2C413E9A" wp14:editId="5E0B55D0">
                        <wp:extent cx="164465" cy="164465"/>
                        <wp:effectExtent l="0" t="0" r="6985"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714" w:type="dxa"/>
                  <w:tcBorders>
                    <w:top w:val="single" w:sz="6" w:space="0" w:color="000000"/>
                    <w:left w:val="single" w:sz="6" w:space="0" w:color="000000"/>
                    <w:bottom w:val="single" w:sz="6" w:space="0" w:color="000000"/>
                    <w:right w:val="nil"/>
                  </w:tcBorders>
                  <w:shd w:val="clear" w:color="auto" w:fill="auto"/>
                  <w:vAlign w:val="center"/>
                </w:tcPr>
                <w:p w:rsidR="00514365" w:rsidRPr="004D4A88" w:rsidRDefault="00514365" w:rsidP="00700289">
                  <w:pPr>
                    <w:jc w:val="center"/>
                    <w:rPr>
                      <w:rFonts w:ascii="Arial" w:eastAsia="Times New Roman" w:hAnsi="Arial" w:cs="Arial"/>
                      <w:noProof/>
                    </w:rPr>
                  </w:pPr>
                  <w:r w:rsidRPr="004D4A88">
                    <w:rPr>
                      <w:rFonts w:ascii="Arial" w:eastAsia="Times New Roman" w:hAnsi="Arial" w:cs="Arial"/>
                      <w:noProof/>
                    </w:rPr>
                    <w:drawing>
                      <wp:inline distT="0" distB="0" distL="0" distR="0" wp14:anchorId="73E8026C" wp14:editId="26B1DEB9">
                        <wp:extent cx="164465" cy="164465"/>
                        <wp:effectExtent l="0" t="0" r="6985"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514365" w:rsidRDefault="00514365" w:rsidP="00700289">
                  <w:pPr>
                    <w:rPr>
                      <w:rFonts w:ascii="Arial" w:eastAsia="Times New Roman" w:hAnsi="Arial" w:cs="Arial"/>
                      <w:bCs/>
                    </w:rPr>
                  </w:pPr>
                  <w:r w:rsidRPr="00514365">
                    <w:rPr>
                      <w:rFonts w:ascii="Arial" w:eastAsia="Times New Roman" w:hAnsi="Arial" w:cs="Arial"/>
                      <w:bCs/>
                    </w:rPr>
                    <w:t>Handover of affordable units at Barton Park will start in January 2019</w:t>
                  </w:r>
                </w:p>
                <w:p w:rsidR="0008069E" w:rsidRDefault="0008069E" w:rsidP="00700289">
                  <w:pPr>
                    <w:rPr>
                      <w:rFonts w:ascii="Arial" w:eastAsia="Times New Roman" w:hAnsi="Arial" w:cs="Arial"/>
                      <w:bCs/>
                    </w:rPr>
                  </w:pPr>
                </w:p>
                <w:p w:rsidR="0008069E" w:rsidRDefault="0008069E" w:rsidP="00700289">
                  <w:pPr>
                    <w:rPr>
                      <w:rFonts w:ascii="Arial" w:eastAsia="Times New Roman" w:hAnsi="Arial" w:cs="Arial"/>
                      <w:bCs/>
                    </w:rPr>
                  </w:pPr>
                </w:p>
                <w:p w:rsidR="006B7308" w:rsidRPr="004D4A88" w:rsidRDefault="006B7308" w:rsidP="00700289">
                  <w:pPr>
                    <w:rPr>
                      <w:rFonts w:ascii="Arial" w:eastAsia="Times New Roman" w:hAnsi="Arial" w:cs="Arial"/>
                      <w:bCs/>
                    </w:rPr>
                  </w:pPr>
                </w:p>
              </w:tc>
            </w:tr>
            <w:tr w:rsidR="0008069E" w:rsidRPr="00D915B0" w:rsidTr="009313D4">
              <w:trPr>
                <w:trHeight w:val="59"/>
                <w:tblCellSpacing w:w="0" w:type="dxa"/>
                <w:jc w:val="center"/>
              </w:trPr>
              <w:tc>
                <w:tcPr>
                  <w:tcW w:w="0" w:type="auto"/>
                  <w:gridSpan w:val="2"/>
                  <w:tcBorders>
                    <w:top w:val="single" w:sz="6" w:space="0" w:color="000000"/>
                    <w:left w:val="single" w:sz="6" w:space="0" w:color="000000"/>
                    <w:bottom w:val="nil"/>
                    <w:right w:val="nil"/>
                  </w:tcBorders>
                  <w:shd w:val="clear" w:color="auto" w:fill="002060"/>
                  <w:vAlign w:val="center"/>
                  <w:hideMark/>
                </w:tcPr>
                <w:p w:rsidR="0008069E" w:rsidRPr="00D915B0" w:rsidRDefault="0008069E" w:rsidP="009313D4">
                  <w:pPr>
                    <w:rPr>
                      <w:rFonts w:ascii="Arial" w:eastAsia="Times New Roman" w:hAnsi="Arial" w:cs="Arial"/>
                      <w:b/>
                      <w:bCs/>
                    </w:rPr>
                  </w:pPr>
                  <w:r w:rsidRPr="00D915B0">
                    <w:rPr>
                      <w:rFonts w:ascii="Arial" w:eastAsia="Times New Roman" w:hAnsi="Arial" w:cs="Arial"/>
                      <w:b/>
                      <w:bCs/>
                    </w:rPr>
                    <w:t>Measure</w:t>
                  </w:r>
                </w:p>
              </w:tc>
              <w:tc>
                <w:tcPr>
                  <w:tcW w:w="0" w:type="auto"/>
                  <w:vMerge w:val="restart"/>
                  <w:tcBorders>
                    <w:top w:val="single" w:sz="6" w:space="0" w:color="000000"/>
                    <w:left w:val="single" w:sz="6" w:space="0" w:color="000000"/>
                    <w:bottom w:val="nil"/>
                    <w:right w:val="nil"/>
                  </w:tcBorders>
                  <w:shd w:val="clear" w:color="auto" w:fill="002060"/>
                  <w:hideMark/>
                </w:tcPr>
                <w:p w:rsidR="0008069E" w:rsidRPr="00D915B0" w:rsidRDefault="0008069E" w:rsidP="009313D4">
                  <w:pPr>
                    <w:jc w:val="center"/>
                    <w:rPr>
                      <w:rFonts w:ascii="Arial" w:eastAsia="Times New Roman" w:hAnsi="Arial" w:cs="Arial"/>
                      <w:b/>
                      <w:bCs/>
                    </w:rPr>
                  </w:pPr>
                  <w:r w:rsidRPr="00D915B0">
                    <w:rPr>
                      <w:rFonts w:ascii="Arial" w:eastAsia="Times New Roman" w:hAnsi="Arial" w:cs="Arial"/>
                      <w:b/>
                      <w:bCs/>
                    </w:rPr>
                    <w:t>Owner</w:t>
                  </w:r>
                </w:p>
              </w:tc>
              <w:tc>
                <w:tcPr>
                  <w:tcW w:w="0" w:type="auto"/>
                  <w:vMerge w:val="restart"/>
                  <w:tcBorders>
                    <w:top w:val="single" w:sz="6" w:space="0" w:color="000000"/>
                    <w:left w:val="single" w:sz="6" w:space="0" w:color="000000"/>
                    <w:bottom w:val="nil"/>
                    <w:right w:val="nil"/>
                  </w:tcBorders>
                  <w:shd w:val="clear" w:color="auto" w:fill="002060"/>
                  <w:hideMark/>
                </w:tcPr>
                <w:p w:rsidR="0008069E" w:rsidRPr="00D915B0" w:rsidRDefault="0008069E" w:rsidP="009313D4">
                  <w:pPr>
                    <w:jc w:val="center"/>
                    <w:rPr>
                      <w:rFonts w:ascii="Arial" w:eastAsia="Times New Roman" w:hAnsi="Arial" w:cs="Arial"/>
                      <w:b/>
                      <w:bCs/>
                    </w:rPr>
                  </w:pPr>
                  <w:r w:rsidRPr="00D915B0">
                    <w:rPr>
                      <w:rFonts w:ascii="Arial" w:eastAsia="Times New Roman" w:hAnsi="Arial" w:cs="Arial"/>
                      <w:b/>
                      <w:bCs/>
                    </w:rPr>
                    <w:t>Result 2017/18</w:t>
                  </w:r>
                </w:p>
              </w:tc>
              <w:tc>
                <w:tcPr>
                  <w:tcW w:w="1902" w:type="dxa"/>
                  <w:gridSpan w:val="2"/>
                  <w:tcBorders>
                    <w:top w:val="single" w:sz="6" w:space="0" w:color="000000"/>
                    <w:left w:val="single" w:sz="6" w:space="0" w:color="000000"/>
                    <w:bottom w:val="nil"/>
                    <w:right w:val="single" w:sz="6" w:space="0" w:color="000000"/>
                  </w:tcBorders>
                  <w:shd w:val="clear" w:color="auto" w:fill="002060"/>
                </w:tcPr>
                <w:p w:rsidR="0008069E" w:rsidRPr="00D915B0" w:rsidRDefault="0008069E" w:rsidP="009313D4">
                  <w:pPr>
                    <w:jc w:val="center"/>
                    <w:rPr>
                      <w:rFonts w:ascii="Arial" w:eastAsia="Times New Roman" w:hAnsi="Arial" w:cs="Arial"/>
                      <w:b/>
                      <w:bCs/>
                    </w:rPr>
                  </w:pPr>
                  <w:r w:rsidRPr="00D915B0">
                    <w:rPr>
                      <w:rFonts w:ascii="Arial" w:eastAsia="Times New Roman" w:hAnsi="Arial" w:cs="Arial"/>
                      <w:b/>
                      <w:bCs/>
                    </w:rPr>
                    <w:t>Latest Data</w:t>
                  </w:r>
                </w:p>
              </w:tc>
              <w:tc>
                <w:tcPr>
                  <w:tcW w:w="1164" w:type="dxa"/>
                  <w:vMerge w:val="restart"/>
                  <w:tcBorders>
                    <w:top w:val="single" w:sz="6" w:space="0" w:color="000000"/>
                    <w:left w:val="single" w:sz="6" w:space="0" w:color="000000"/>
                    <w:bottom w:val="nil"/>
                    <w:right w:val="nil"/>
                  </w:tcBorders>
                  <w:shd w:val="clear" w:color="auto" w:fill="002060"/>
                  <w:hideMark/>
                </w:tcPr>
                <w:p w:rsidR="0008069E" w:rsidRPr="00D915B0" w:rsidRDefault="0008069E" w:rsidP="009313D4">
                  <w:pPr>
                    <w:jc w:val="center"/>
                    <w:rPr>
                      <w:rFonts w:ascii="Arial" w:eastAsia="Times New Roman" w:hAnsi="Arial" w:cs="Arial"/>
                      <w:b/>
                      <w:bCs/>
                    </w:rPr>
                  </w:pPr>
                  <w:r w:rsidRPr="00D915B0">
                    <w:rPr>
                      <w:rFonts w:ascii="Arial" w:eastAsia="Times New Roman" w:hAnsi="Arial" w:cs="Arial"/>
                      <w:b/>
                      <w:bCs/>
                    </w:rPr>
                    <w:t>Year End Target 2018/19</w:t>
                  </w:r>
                </w:p>
              </w:tc>
              <w:tc>
                <w:tcPr>
                  <w:tcW w:w="1214" w:type="dxa"/>
                  <w:vMerge w:val="restart"/>
                  <w:tcBorders>
                    <w:top w:val="single" w:sz="6" w:space="0" w:color="000000"/>
                    <w:left w:val="single" w:sz="6" w:space="0" w:color="000000"/>
                    <w:bottom w:val="nil"/>
                    <w:right w:val="nil"/>
                  </w:tcBorders>
                  <w:shd w:val="clear" w:color="auto" w:fill="002060"/>
                  <w:hideMark/>
                </w:tcPr>
                <w:p w:rsidR="0008069E" w:rsidRPr="00D915B0" w:rsidRDefault="0008069E" w:rsidP="009313D4">
                  <w:pPr>
                    <w:jc w:val="center"/>
                    <w:rPr>
                      <w:rFonts w:ascii="Arial" w:eastAsia="Times New Roman" w:hAnsi="Arial" w:cs="Arial"/>
                      <w:b/>
                      <w:bCs/>
                    </w:rPr>
                  </w:pPr>
                  <w:r w:rsidRPr="00D915B0">
                    <w:rPr>
                      <w:rFonts w:ascii="Arial" w:eastAsia="Times New Roman" w:hAnsi="Arial" w:cs="Arial"/>
                      <w:b/>
                      <w:bCs/>
                    </w:rPr>
                    <w:t>RAG</w:t>
                  </w:r>
                </w:p>
              </w:tc>
              <w:tc>
                <w:tcPr>
                  <w:tcW w:w="5594" w:type="dxa"/>
                  <w:gridSpan w:val="3"/>
                  <w:tcBorders>
                    <w:top w:val="single" w:sz="6" w:space="0" w:color="000000"/>
                    <w:left w:val="single" w:sz="4" w:space="0" w:color="auto"/>
                    <w:right w:val="nil"/>
                  </w:tcBorders>
                  <w:shd w:val="clear" w:color="auto" w:fill="002060"/>
                </w:tcPr>
                <w:p w:rsidR="0008069E" w:rsidRPr="00D915B0" w:rsidRDefault="0008069E" w:rsidP="009313D4">
                  <w:pPr>
                    <w:rPr>
                      <w:rFonts w:ascii="Arial" w:eastAsia="Times New Roman" w:hAnsi="Arial" w:cs="Arial"/>
                      <w:b/>
                      <w:bCs/>
                    </w:rPr>
                  </w:pPr>
                  <w:r w:rsidRPr="00D915B0">
                    <w:rPr>
                      <w:rFonts w:ascii="Arial" w:eastAsia="Times New Roman" w:hAnsi="Arial" w:cs="Arial"/>
                      <w:b/>
                      <w:bCs/>
                    </w:rPr>
                    <w:t>Comments</w:t>
                  </w:r>
                </w:p>
                <w:p w:rsidR="0008069E" w:rsidRPr="00D915B0" w:rsidRDefault="0008069E" w:rsidP="009313D4">
                  <w:pPr>
                    <w:rPr>
                      <w:rFonts w:ascii="Arial" w:eastAsia="Times New Roman" w:hAnsi="Arial" w:cs="Arial"/>
                      <w:b/>
                      <w:bCs/>
                    </w:rPr>
                  </w:pPr>
                </w:p>
              </w:tc>
            </w:tr>
            <w:tr w:rsidR="0008069E" w:rsidRPr="00D915B0" w:rsidTr="009313D4">
              <w:trPr>
                <w:tblCellSpacing w:w="0" w:type="dxa"/>
                <w:jc w:val="center"/>
              </w:trPr>
              <w:tc>
                <w:tcPr>
                  <w:tcW w:w="900" w:type="dxa"/>
                  <w:tcBorders>
                    <w:top w:val="single" w:sz="6" w:space="0" w:color="000000"/>
                    <w:left w:val="single" w:sz="6" w:space="0" w:color="000000"/>
                    <w:bottom w:val="single" w:sz="6" w:space="0" w:color="000000"/>
                    <w:right w:val="nil"/>
                  </w:tcBorders>
                  <w:shd w:val="clear" w:color="auto" w:fill="002060"/>
                  <w:vAlign w:val="center"/>
                  <w:hideMark/>
                </w:tcPr>
                <w:p w:rsidR="0008069E" w:rsidRPr="00D915B0" w:rsidRDefault="0008069E" w:rsidP="009313D4">
                  <w:pPr>
                    <w:rPr>
                      <w:rFonts w:ascii="Arial" w:eastAsia="Times New Roman" w:hAnsi="Arial" w:cs="Arial"/>
                      <w:b/>
                      <w:bCs/>
                    </w:rPr>
                  </w:pPr>
                  <w:r w:rsidRPr="00D915B0">
                    <w:rPr>
                      <w:rFonts w:ascii="Arial" w:eastAsia="Times New Roman" w:hAnsi="Arial" w:cs="Arial"/>
                      <w:b/>
                      <w:bCs/>
                    </w:rPr>
                    <w:t>Ref</w:t>
                  </w:r>
                </w:p>
              </w:tc>
              <w:tc>
                <w:tcPr>
                  <w:tcW w:w="2055" w:type="dxa"/>
                  <w:tcBorders>
                    <w:top w:val="single" w:sz="6" w:space="0" w:color="000000"/>
                    <w:left w:val="single" w:sz="6" w:space="0" w:color="000000"/>
                    <w:bottom w:val="single" w:sz="6" w:space="0" w:color="000000"/>
                    <w:right w:val="nil"/>
                  </w:tcBorders>
                  <w:shd w:val="clear" w:color="auto" w:fill="002060"/>
                  <w:vAlign w:val="center"/>
                  <w:hideMark/>
                </w:tcPr>
                <w:p w:rsidR="0008069E" w:rsidRPr="00D915B0" w:rsidRDefault="0008069E" w:rsidP="009313D4">
                  <w:pPr>
                    <w:rPr>
                      <w:rFonts w:ascii="Arial" w:eastAsia="Times New Roman" w:hAnsi="Arial" w:cs="Arial"/>
                      <w:b/>
                      <w:bCs/>
                    </w:rPr>
                  </w:pPr>
                  <w:r w:rsidRPr="00D915B0">
                    <w:rPr>
                      <w:rFonts w:ascii="Arial" w:eastAsia="Times New Roman" w:hAnsi="Arial" w:cs="Arial"/>
                      <w:b/>
                      <w:bCs/>
                    </w:rPr>
                    <w:t>Description</w:t>
                  </w:r>
                </w:p>
              </w:tc>
              <w:tc>
                <w:tcPr>
                  <w:tcW w:w="0" w:type="auto"/>
                  <w:vMerge/>
                  <w:tcBorders>
                    <w:top w:val="single" w:sz="6" w:space="0" w:color="000000"/>
                    <w:left w:val="single" w:sz="6" w:space="0" w:color="000000"/>
                    <w:bottom w:val="single" w:sz="6" w:space="0" w:color="000000"/>
                    <w:right w:val="nil"/>
                  </w:tcBorders>
                  <w:shd w:val="clear" w:color="auto" w:fill="002060"/>
                  <w:vAlign w:val="center"/>
                  <w:hideMark/>
                </w:tcPr>
                <w:p w:rsidR="0008069E" w:rsidRPr="00D915B0" w:rsidRDefault="0008069E" w:rsidP="009313D4">
                  <w:pPr>
                    <w:rPr>
                      <w:rFonts w:ascii="Arial" w:eastAsia="Times New Roman" w:hAnsi="Arial" w:cs="Arial"/>
                      <w:b/>
                      <w:bCs/>
                    </w:rPr>
                  </w:pPr>
                </w:p>
              </w:tc>
              <w:tc>
                <w:tcPr>
                  <w:tcW w:w="0" w:type="auto"/>
                  <w:vMerge/>
                  <w:tcBorders>
                    <w:top w:val="single" w:sz="6" w:space="0" w:color="000000"/>
                    <w:left w:val="single" w:sz="6" w:space="0" w:color="000000"/>
                    <w:bottom w:val="single" w:sz="6" w:space="0" w:color="000000"/>
                    <w:right w:val="nil"/>
                  </w:tcBorders>
                  <w:shd w:val="clear" w:color="auto" w:fill="002060"/>
                  <w:vAlign w:val="center"/>
                  <w:hideMark/>
                </w:tcPr>
                <w:p w:rsidR="0008069E" w:rsidRPr="00D915B0" w:rsidRDefault="0008069E" w:rsidP="009313D4">
                  <w:pPr>
                    <w:rPr>
                      <w:rFonts w:ascii="Arial" w:eastAsia="Times New Roman" w:hAnsi="Arial" w:cs="Arial"/>
                      <w:b/>
                      <w:bCs/>
                    </w:rPr>
                  </w:pPr>
                </w:p>
              </w:tc>
              <w:tc>
                <w:tcPr>
                  <w:tcW w:w="969" w:type="dxa"/>
                  <w:tcBorders>
                    <w:left w:val="single" w:sz="6" w:space="0" w:color="000000"/>
                    <w:right w:val="single" w:sz="6" w:space="0" w:color="000000"/>
                  </w:tcBorders>
                  <w:shd w:val="clear" w:color="auto" w:fill="002060"/>
                  <w:vAlign w:val="center"/>
                </w:tcPr>
                <w:p w:rsidR="0008069E" w:rsidRPr="00D915B0" w:rsidRDefault="0008069E" w:rsidP="009313D4">
                  <w:pPr>
                    <w:jc w:val="center"/>
                    <w:rPr>
                      <w:rFonts w:ascii="Arial" w:eastAsia="Times New Roman" w:hAnsi="Arial" w:cs="Arial"/>
                      <w:b/>
                      <w:bCs/>
                    </w:rPr>
                  </w:pPr>
                  <w:r w:rsidRPr="00D915B0">
                    <w:rPr>
                      <w:rFonts w:ascii="Arial" w:eastAsia="Times New Roman" w:hAnsi="Arial" w:cs="Arial"/>
                      <w:b/>
                      <w:bCs/>
                    </w:rPr>
                    <w:t>Target</w:t>
                  </w:r>
                </w:p>
              </w:tc>
              <w:tc>
                <w:tcPr>
                  <w:tcW w:w="933" w:type="dxa"/>
                  <w:tcBorders>
                    <w:left w:val="single" w:sz="6" w:space="0" w:color="000000"/>
                    <w:right w:val="nil"/>
                  </w:tcBorders>
                  <w:shd w:val="clear" w:color="auto" w:fill="002060"/>
                  <w:vAlign w:val="center"/>
                  <w:hideMark/>
                </w:tcPr>
                <w:p w:rsidR="0008069E" w:rsidRPr="00D915B0" w:rsidRDefault="0008069E" w:rsidP="009313D4">
                  <w:pPr>
                    <w:jc w:val="center"/>
                    <w:rPr>
                      <w:rFonts w:ascii="Arial" w:eastAsia="Times New Roman" w:hAnsi="Arial" w:cs="Arial"/>
                      <w:b/>
                      <w:bCs/>
                    </w:rPr>
                  </w:pPr>
                  <w:r w:rsidRPr="00D915B0">
                    <w:rPr>
                      <w:rFonts w:ascii="Arial" w:eastAsia="Times New Roman" w:hAnsi="Arial" w:cs="Arial"/>
                      <w:b/>
                      <w:bCs/>
                    </w:rPr>
                    <w:t>Result</w:t>
                  </w:r>
                </w:p>
              </w:tc>
              <w:tc>
                <w:tcPr>
                  <w:tcW w:w="1164" w:type="dxa"/>
                  <w:vMerge/>
                  <w:tcBorders>
                    <w:top w:val="single" w:sz="6" w:space="0" w:color="000000"/>
                    <w:left w:val="single" w:sz="6" w:space="0" w:color="000000"/>
                    <w:bottom w:val="single" w:sz="6" w:space="0" w:color="000000"/>
                    <w:right w:val="nil"/>
                  </w:tcBorders>
                  <w:shd w:val="clear" w:color="auto" w:fill="002060"/>
                  <w:vAlign w:val="center"/>
                  <w:hideMark/>
                </w:tcPr>
                <w:p w:rsidR="0008069E" w:rsidRPr="00D915B0" w:rsidRDefault="0008069E" w:rsidP="009313D4">
                  <w:pPr>
                    <w:rPr>
                      <w:rFonts w:ascii="Arial" w:eastAsia="Times New Roman" w:hAnsi="Arial" w:cs="Arial"/>
                      <w:b/>
                      <w:bCs/>
                    </w:rPr>
                  </w:pPr>
                </w:p>
              </w:tc>
              <w:tc>
                <w:tcPr>
                  <w:tcW w:w="1214" w:type="dxa"/>
                  <w:vMerge/>
                  <w:tcBorders>
                    <w:top w:val="single" w:sz="6" w:space="0" w:color="000000"/>
                    <w:left w:val="single" w:sz="6" w:space="0" w:color="000000"/>
                    <w:bottom w:val="single" w:sz="6" w:space="0" w:color="000000"/>
                    <w:right w:val="nil"/>
                  </w:tcBorders>
                  <w:shd w:val="clear" w:color="auto" w:fill="002060"/>
                  <w:vAlign w:val="center"/>
                  <w:hideMark/>
                </w:tcPr>
                <w:p w:rsidR="0008069E" w:rsidRPr="00D915B0" w:rsidRDefault="0008069E" w:rsidP="009313D4">
                  <w:pPr>
                    <w:rPr>
                      <w:rFonts w:ascii="Arial" w:eastAsia="Times New Roman" w:hAnsi="Arial" w:cs="Arial"/>
                      <w:b/>
                      <w:bCs/>
                    </w:rPr>
                  </w:pPr>
                </w:p>
              </w:tc>
              <w:tc>
                <w:tcPr>
                  <w:tcW w:w="686" w:type="dxa"/>
                  <w:tcBorders>
                    <w:top w:val="single" w:sz="6" w:space="0" w:color="000000"/>
                    <w:left w:val="single" w:sz="6" w:space="0" w:color="000000"/>
                    <w:bottom w:val="single" w:sz="6" w:space="0" w:color="000000"/>
                    <w:right w:val="nil"/>
                  </w:tcBorders>
                  <w:shd w:val="clear" w:color="auto" w:fill="002060"/>
                  <w:vAlign w:val="center"/>
                  <w:hideMark/>
                </w:tcPr>
                <w:p w:rsidR="0008069E" w:rsidRPr="00D915B0" w:rsidRDefault="0008069E" w:rsidP="009313D4">
                  <w:pPr>
                    <w:jc w:val="center"/>
                    <w:rPr>
                      <w:rFonts w:ascii="Arial" w:eastAsia="Times New Roman" w:hAnsi="Arial" w:cs="Arial"/>
                      <w:b/>
                      <w:bCs/>
                    </w:rPr>
                  </w:pPr>
                  <w:proofErr w:type="spellStart"/>
                  <w:r w:rsidRPr="00D915B0">
                    <w:rPr>
                      <w:rFonts w:ascii="Arial" w:eastAsia="Times New Roman" w:hAnsi="Arial" w:cs="Arial"/>
                      <w:b/>
                      <w:bCs/>
                    </w:rPr>
                    <w:t>Prd</w:t>
                  </w:r>
                  <w:proofErr w:type="spellEnd"/>
                </w:p>
              </w:tc>
              <w:tc>
                <w:tcPr>
                  <w:tcW w:w="714" w:type="dxa"/>
                  <w:tcBorders>
                    <w:top w:val="single" w:sz="6" w:space="0" w:color="000000"/>
                    <w:left w:val="single" w:sz="6" w:space="0" w:color="000000"/>
                    <w:bottom w:val="single" w:sz="6" w:space="0" w:color="000000"/>
                    <w:right w:val="nil"/>
                  </w:tcBorders>
                  <w:shd w:val="clear" w:color="auto" w:fill="002060"/>
                  <w:vAlign w:val="center"/>
                  <w:hideMark/>
                </w:tcPr>
                <w:p w:rsidR="0008069E" w:rsidRPr="00D915B0" w:rsidRDefault="0008069E" w:rsidP="009313D4">
                  <w:pPr>
                    <w:jc w:val="center"/>
                    <w:rPr>
                      <w:rFonts w:ascii="Arial" w:eastAsia="Times New Roman" w:hAnsi="Arial" w:cs="Arial"/>
                      <w:b/>
                      <w:bCs/>
                    </w:rPr>
                  </w:pPr>
                  <w:proofErr w:type="spellStart"/>
                  <w:r w:rsidRPr="00D915B0">
                    <w:rPr>
                      <w:rFonts w:ascii="Arial" w:eastAsia="Times New Roman" w:hAnsi="Arial" w:cs="Arial"/>
                      <w:b/>
                      <w:bCs/>
                    </w:rPr>
                    <w:t>Prev</w:t>
                  </w:r>
                  <w:proofErr w:type="spellEnd"/>
                  <w:r w:rsidRPr="00D915B0">
                    <w:rPr>
                      <w:rFonts w:ascii="Arial" w:eastAsia="Times New Roman" w:hAnsi="Arial" w:cs="Arial"/>
                      <w:b/>
                      <w:bCs/>
                    </w:rPr>
                    <w:t xml:space="preserve"> Year  End</w:t>
                  </w:r>
                </w:p>
              </w:tc>
              <w:tc>
                <w:tcPr>
                  <w:tcW w:w="4194" w:type="dxa"/>
                  <w:tcBorders>
                    <w:left w:val="single" w:sz="4" w:space="0" w:color="auto"/>
                    <w:right w:val="nil"/>
                  </w:tcBorders>
                  <w:shd w:val="clear" w:color="auto" w:fill="002060"/>
                  <w:vAlign w:val="center"/>
                  <w:hideMark/>
                </w:tcPr>
                <w:p w:rsidR="0008069E" w:rsidRPr="00D915B0" w:rsidRDefault="0008069E" w:rsidP="009313D4">
                  <w:pPr>
                    <w:rPr>
                      <w:rFonts w:ascii="Arial" w:eastAsia="Times New Roman" w:hAnsi="Arial" w:cs="Arial"/>
                      <w:b/>
                      <w:bCs/>
                    </w:rPr>
                  </w:pPr>
                </w:p>
              </w:tc>
            </w:tr>
          </w:tbl>
          <w:tbl>
            <w:tblPr>
              <w:tblW w:w="4730" w:type="pct"/>
              <w:jc w:val="center"/>
              <w:tblCellSpacing w:w="0" w:type="dxa"/>
              <w:tblCellMar>
                <w:top w:w="15" w:type="dxa"/>
                <w:left w:w="15" w:type="dxa"/>
                <w:bottom w:w="15" w:type="dxa"/>
                <w:right w:w="15" w:type="dxa"/>
              </w:tblCellMar>
              <w:tblLook w:val="04A0" w:firstRow="1" w:lastRow="0" w:firstColumn="1" w:lastColumn="0" w:noHBand="0" w:noVBand="1"/>
            </w:tblPr>
            <w:tblGrid>
              <w:gridCol w:w="909"/>
              <w:gridCol w:w="2011"/>
              <w:gridCol w:w="1124"/>
              <w:gridCol w:w="1110"/>
              <w:gridCol w:w="949"/>
              <w:gridCol w:w="946"/>
              <w:gridCol w:w="1136"/>
              <w:gridCol w:w="1187"/>
              <w:gridCol w:w="668"/>
              <w:gridCol w:w="697"/>
              <w:gridCol w:w="4097"/>
            </w:tblGrid>
            <w:tr w:rsidR="0008069E" w:rsidRPr="00D915B0" w:rsidTr="0008069E">
              <w:trPr>
                <w:divId w:val="99450058"/>
                <w:tblCellSpacing w:w="0" w:type="dxa"/>
                <w:jc w:val="center"/>
              </w:trPr>
              <w:tc>
                <w:tcPr>
                  <w:tcW w:w="306" w:type="pct"/>
                  <w:tcBorders>
                    <w:top w:val="single" w:sz="6" w:space="0" w:color="000000"/>
                    <w:left w:val="single" w:sz="6" w:space="0" w:color="000000"/>
                    <w:bottom w:val="nil"/>
                    <w:right w:val="nil"/>
                  </w:tcBorders>
                  <w:shd w:val="clear" w:color="auto" w:fill="FFFFFF"/>
                  <w:hideMark/>
                </w:tcPr>
                <w:p w:rsidR="0008069E" w:rsidRPr="00D915B0" w:rsidRDefault="0008069E" w:rsidP="009313D4">
                  <w:pPr>
                    <w:rPr>
                      <w:rFonts w:ascii="Arial" w:eastAsia="Times New Roman" w:hAnsi="Arial" w:cs="Arial"/>
                    </w:rPr>
                  </w:pPr>
                  <w:r w:rsidRPr="00D915B0">
                    <w:rPr>
                      <w:rStyle w:val="htmlmarkup"/>
                      <w:rFonts w:ascii="Arial" w:eastAsia="Times New Roman" w:hAnsi="Arial" w:cs="Arial"/>
                    </w:rPr>
                    <w:t>NI156</w:t>
                  </w:r>
                </w:p>
              </w:tc>
              <w:tc>
                <w:tcPr>
                  <w:tcW w:w="678" w:type="pct"/>
                  <w:tcBorders>
                    <w:top w:val="single" w:sz="6" w:space="0" w:color="000000"/>
                    <w:left w:val="single" w:sz="6" w:space="0" w:color="000000"/>
                    <w:bottom w:val="nil"/>
                    <w:right w:val="nil"/>
                  </w:tcBorders>
                  <w:shd w:val="clear" w:color="auto" w:fill="FFFFFF"/>
                  <w:hideMark/>
                </w:tcPr>
                <w:p w:rsidR="0008069E" w:rsidRPr="00D915B0" w:rsidRDefault="0008069E" w:rsidP="009313D4">
                  <w:pPr>
                    <w:rPr>
                      <w:rFonts w:ascii="Arial" w:eastAsia="Times New Roman" w:hAnsi="Arial" w:cs="Arial"/>
                    </w:rPr>
                  </w:pPr>
                  <w:r w:rsidRPr="00D915B0">
                    <w:rPr>
                      <w:rFonts w:ascii="Arial" w:eastAsia="Times New Roman" w:hAnsi="Arial" w:cs="Arial"/>
                    </w:rPr>
                    <w:t>Limit our use of temporary accommodation at 2015 levels</w:t>
                  </w:r>
                  <w:r>
                    <w:rPr>
                      <w:rFonts w:ascii="Arial" w:eastAsia="Times New Roman" w:hAnsi="Arial" w:cs="Arial"/>
                    </w:rPr>
                    <w:t>.</w:t>
                  </w:r>
                </w:p>
              </w:tc>
              <w:tc>
                <w:tcPr>
                  <w:tcW w:w="379" w:type="pct"/>
                  <w:tcBorders>
                    <w:top w:val="single" w:sz="6" w:space="0" w:color="000000"/>
                    <w:left w:val="single" w:sz="6" w:space="0" w:color="000000"/>
                    <w:bottom w:val="nil"/>
                    <w:right w:val="nil"/>
                  </w:tcBorders>
                  <w:shd w:val="clear" w:color="auto" w:fill="FFFFFF"/>
                  <w:hideMark/>
                </w:tcPr>
                <w:p w:rsidR="0008069E" w:rsidRPr="00D915B0" w:rsidRDefault="0008069E" w:rsidP="009313D4">
                  <w:pPr>
                    <w:jc w:val="center"/>
                    <w:rPr>
                      <w:rFonts w:ascii="Arial" w:eastAsia="Times New Roman" w:hAnsi="Arial" w:cs="Arial"/>
                    </w:rPr>
                  </w:pPr>
                  <w:r w:rsidRPr="00D915B0">
                    <w:rPr>
                      <w:rFonts w:ascii="Arial" w:eastAsia="Times New Roman" w:hAnsi="Arial" w:cs="Arial"/>
                    </w:rPr>
                    <w:t>Stephen Clarke</w:t>
                  </w:r>
                </w:p>
              </w:tc>
              <w:tc>
                <w:tcPr>
                  <w:tcW w:w="374" w:type="pct"/>
                  <w:tcBorders>
                    <w:top w:val="single" w:sz="6" w:space="0" w:color="000000"/>
                    <w:left w:val="single" w:sz="6" w:space="0" w:color="000000"/>
                    <w:bottom w:val="nil"/>
                    <w:right w:val="nil"/>
                  </w:tcBorders>
                  <w:shd w:val="clear" w:color="auto" w:fill="C0C0C0"/>
                  <w:hideMark/>
                </w:tcPr>
                <w:p w:rsidR="0008069E" w:rsidRPr="00D915B0" w:rsidRDefault="0008069E" w:rsidP="009313D4">
                  <w:pPr>
                    <w:jc w:val="center"/>
                    <w:rPr>
                      <w:rFonts w:ascii="Arial" w:eastAsia="Times New Roman" w:hAnsi="Arial" w:cs="Arial"/>
                    </w:rPr>
                  </w:pPr>
                  <w:r w:rsidRPr="00D915B0">
                    <w:rPr>
                      <w:rFonts w:ascii="Arial" w:eastAsia="Times New Roman" w:hAnsi="Arial" w:cs="Arial"/>
                    </w:rPr>
                    <w:t>107  Number</w:t>
                  </w:r>
                </w:p>
              </w:tc>
              <w:tc>
                <w:tcPr>
                  <w:tcW w:w="320" w:type="pct"/>
                  <w:tcBorders>
                    <w:top w:val="single" w:sz="6" w:space="0" w:color="000000"/>
                    <w:left w:val="single" w:sz="6" w:space="0" w:color="000000"/>
                    <w:bottom w:val="nil"/>
                    <w:right w:val="single" w:sz="6" w:space="0" w:color="000000"/>
                  </w:tcBorders>
                  <w:shd w:val="clear" w:color="auto" w:fill="FFFFFF"/>
                </w:tcPr>
                <w:p w:rsidR="0008069E" w:rsidRPr="00D915B0" w:rsidRDefault="0008069E" w:rsidP="009313D4">
                  <w:pPr>
                    <w:jc w:val="center"/>
                    <w:rPr>
                      <w:rFonts w:ascii="Arial" w:eastAsia="Times New Roman" w:hAnsi="Arial" w:cs="Arial"/>
                    </w:rPr>
                  </w:pPr>
                  <w:r w:rsidRPr="00D915B0">
                    <w:rPr>
                      <w:rFonts w:ascii="Arial" w:eastAsia="Times New Roman" w:hAnsi="Arial" w:cs="Arial"/>
                    </w:rPr>
                    <w:t>120 Number</w:t>
                  </w:r>
                </w:p>
              </w:tc>
              <w:tc>
                <w:tcPr>
                  <w:tcW w:w="319" w:type="pct"/>
                  <w:tcBorders>
                    <w:top w:val="single" w:sz="6" w:space="0" w:color="000000"/>
                    <w:left w:val="single" w:sz="6" w:space="0" w:color="000000"/>
                    <w:bottom w:val="nil"/>
                    <w:right w:val="single" w:sz="6" w:space="0" w:color="000000"/>
                  </w:tcBorders>
                  <w:shd w:val="clear" w:color="auto" w:fill="FFFFFF"/>
                  <w:hideMark/>
                </w:tcPr>
                <w:p w:rsidR="0008069E" w:rsidRPr="00D915B0" w:rsidRDefault="0008069E" w:rsidP="009313D4">
                  <w:pPr>
                    <w:jc w:val="center"/>
                    <w:rPr>
                      <w:rFonts w:ascii="Arial" w:eastAsia="Times New Roman" w:hAnsi="Arial" w:cs="Arial"/>
                    </w:rPr>
                  </w:pPr>
                  <w:r w:rsidRPr="00D915B0">
                    <w:rPr>
                      <w:rFonts w:ascii="Arial" w:eastAsia="Times New Roman" w:hAnsi="Arial" w:cs="Arial"/>
                    </w:rPr>
                    <w:t>96 Number</w:t>
                  </w:r>
                </w:p>
              </w:tc>
              <w:tc>
                <w:tcPr>
                  <w:tcW w:w="383" w:type="pct"/>
                  <w:tcBorders>
                    <w:top w:val="single" w:sz="6" w:space="0" w:color="000000"/>
                    <w:left w:val="single" w:sz="6" w:space="0" w:color="000000"/>
                    <w:bottom w:val="nil"/>
                    <w:right w:val="nil"/>
                  </w:tcBorders>
                  <w:shd w:val="clear" w:color="auto" w:fill="C0C0C0"/>
                  <w:hideMark/>
                </w:tcPr>
                <w:p w:rsidR="0008069E" w:rsidRPr="00D915B0" w:rsidRDefault="0008069E" w:rsidP="009313D4">
                  <w:pPr>
                    <w:jc w:val="center"/>
                    <w:rPr>
                      <w:rFonts w:ascii="Arial" w:eastAsia="Times New Roman" w:hAnsi="Arial" w:cs="Arial"/>
                    </w:rPr>
                  </w:pPr>
                  <w:r w:rsidRPr="00D915B0">
                    <w:rPr>
                      <w:rFonts w:ascii="Arial" w:eastAsia="Times New Roman" w:hAnsi="Arial" w:cs="Arial"/>
                    </w:rPr>
                    <w:t>120 Number</w:t>
                  </w:r>
                </w:p>
              </w:tc>
              <w:tc>
                <w:tcPr>
                  <w:tcW w:w="400" w:type="pct"/>
                  <w:tcBorders>
                    <w:top w:val="single" w:sz="6" w:space="0" w:color="000000"/>
                    <w:left w:val="single" w:sz="6" w:space="0" w:color="000000"/>
                    <w:bottom w:val="nil"/>
                    <w:right w:val="nil"/>
                  </w:tcBorders>
                  <w:shd w:val="clear" w:color="auto" w:fill="00FF00"/>
                  <w:noWrap/>
                  <w:hideMark/>
                </w:tcPr>
                <w:p w:rsidR="0008069E" w:rsidRPr="00D915B0" w:rsidRDefault="0008069E" w:rsidP="009313D4">
                  <w:pPr>
                    <w:jc w:val="center"/>
                    <w:rPr>
                      <w:rFonts w:ascii="Arial" w:eastAsia="Times New Roman" w:hAnsi="Arial" w:cs="Arial"/>
                      <w:b/>
                      <w:bCs/>
                    </w:rPr>
                  </w:pPr>
                  <w:r w:rsidRPr="00D915B0">
                    <w:rPr>
                      <w:rFonts w:ascii="Arial" w:eastAsia="Times New Roman" w:hAnsi="Arial" w:cs="Arial"/>
                      <w:b/>
                      <w:bCs/>
                    </w:rPr>
                    <w:t>G</w:t>
                  </w:r>
                </w:p>
              </w:tc>
              <w:tc>
                <w:tcPr>
                  <w:tcW w:w="225" w:type="pct"/>
                  <w:tcBorders>
                    <w:top w:val="single" w:sz="6" w:space="0" w:color="000000"/>
                    <w:left w:val="single" w:sz="6" w:space="0" w:color="000000"/>
                    <w:bottom w:val="nil"/>
                    <w:right w:val="nil"/>
                  </w:tcBorders>
                  <w:shd w:val="clear" w:color="auto" w:fill="FFFFFF"/>
                  <w:hideMark/>
                </w:tcPr>
                <w:p w:rsidR="0008069E" w:rsidRPr="00D915B0" w:rsidRDefault="0008069E" w:rsidP="009313D4">
                  <w:pPr>
                    <w:jc w:val="center"/>
                    <w:rPr>
                      <w:rFonts w:ascii="Arial" w:eastAsia="Times New Roman" w:hAnsi="Arial" w:cs="Arial"/>
                    </w:rPr>
                  </w:pPr>
                  <w:r w:rsidRPr="00D915B0">
                    <w:rPr>
                      <w:rFonts w:ascii="Arial" w:eastAsia="Times New Roman" w:hAnsi="Arial" w:cs="Arial"/>
                      <w:noProof/>
                    </w:rPr>
                    <w:drawing>
                      <wp:inline distT="0" distB="0" distL="0" distR="0" wp14:anchorId="3618A565" wp14:editId="6A8DDD7E">
                        <wp:extent cx="164465" cy="1644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D915B0">
                    <w:rPr>
                      <w:rFonts w:ascii="Arial" w:eastAsia="Times New Roman" w:hAnsi="Arial" w:cs="Arial"/>
                    </w:rPr>
                    <w:t> </w:t>
                  </w:r>
                </w:p>
                <w:p w:rsidR="0008069E" w:rsidRPr="00D915B0" w:rsidRDefault="0008069E" w:rsidP="009313D4">
                  <w:pPr>
                    <w:jc w:val="center"/>
                    <w:rPr>
                      <w:rFonts w:ascii="Arial" w:eastAsia="Times New Roman" w:hAnsi="Arial" w:cs="Arial"/>
                    </w:rPr>
                  </w:pPr>
                </w:p>
              </w:tc>
              <w:tc>
                <w:tcPr>
                  <w:tcW w:w="235" w:type="pct"/>
                  <w:tcBorders>
                    <w:top w:val="single" w:sz="4" w:space="0" w:color="auto"/>
                    <w:left w:val="single" w:sz="4" w:space="0" w:color="auto"/>
                    <w:bottom w:val="single" w:sz="4" w:space="0" w:color="auto"/>
                    <w:right w:val="single" w:sz="4" w:space="0" w:color="auto"/>
                  </w:tcBorders>
                  <w:shd w:val="clear" w:color="auto" w:fill="FFFFFF"/>
                  <w:hideMark/>
                </w:tcPr>
                <w:p w:rsidR="0008069E" w:rsidRPr="00D915B0" w:rsidRDefault="0008069E" w:rsidP="009313D4">
                  <w:pPr>
                    <w:jc w:val="center"/>
                    <w:rPr>
                      <w:rFonts w:ascii="Arial" w:eastAsia="Times New Roman" w:hAnsi="Arial" w:cs="Arial"/>
                    </w:rPr>
                  </w:pPr>
                  <w:r w:rsidRPr="00D915B0">
                    <w:rPr>
                      <w:rFonts w:ascii="Arial" w:eastAsia="Times New Roman" w:hAnsi="Arial" w:cs="Arial"/>
                      <w:noProof/>
                    </w:rPr>
                    <w:drawing>
                      <wp:inline distT="0" distB="0" distL="0" distR="0" wp14:anchorId="5F7727C1" wp14:editId="793CF00D">
                        <wp:extent cx="164465" cy="1644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rsidR="0008069E" w:rsidRPr="00D915B0" w:rsidRDefault="0008069E" w:rsidP="009313D4">
                  <w:pPr>
                    <w:jc w:val="center"/>
                    <w:rPr>
                      <w:rFonts w:ascii="Arial" w:eastAsia="Times New Roman" w:hAnsi="Arial" w:cs="Arial"/>
                    </w:rPr>
                  </w:pPr>
                  <w:r w:rsidRPr="00D915B0">
                    <w:rPr>
                      <w:rFonts w:ascii="Arial" w:eastAsia="Times New Roman" w:hAnsi="Arial" w:cs="Arial"/>
                    </w:rPr>
                    <w:t> </w:t>
                  </w:r>
                </w:p>
              </w:tc>
              <w:tc>
                <w:tcPr>
                  <w:tcW w:w="1381" w:type="pct"/>
                  <w:tcBorders>
                    <w:top w:val="single" w:sz="6" w:space="0" w:color="000000"/>
                    <w:left w:val="single" w:sz="6" w:space="0" w:color="000000"/>
                    <w:bottom w:val="nil"/>
                    <w:right w:val="nil"/>
                  </w:tcBorders>
                  <w:shd w:val="clear" w:color="auto" w:fill="FFFFFF"/>
                  <w:hideMark/>
                </w:tcPr>
                <w:p w:rsidR="0008069E" w:rsidRPr="00D915B0" w:rsidRDefault="0008069E" w:rsidP="009313D4">
                  <w:pPr>
                    <w:rPr>
                      <w:rFonts w:ascii="Arial" w:eastAsia="Times New Roman" w:hAnsi="Arial" w:cs="Arial"/>
                    </w:rPr>
                  </w:pPr>
                  <w:r w:rsidRPr="00D915B0">
                    <w:rPr>
                      <w:rFonts w:ascii="Arial" w:eastAsia="Times New Roman" w:hAnsi="Arial" w:cs="Arial"/>
                    </w:rPr>
                    <w:t>This is an excellent result, against a target of less than 120 households in temporary accommodation.  Reducing or maintaining the number of households in temporary accommodation is a challenging target in a very difficult external environment, where the demand for services remains high, and the ability to find suitable accommodation, at affordable rents, locally is increasingly difficult. This result is testament to the continued exceptional homeless prevention work and temporary accommodation management undertaken by Housing Needs teams.</w:t>
                  </w:r>
                </w:p>
              </w:tc>
            </w:tr>
          </w:tbl>
          <w:p w:rsidR="00945BC5" w:rsidRPr="00D915B0" w:rsidRDefault="00945BC5">
            <w:pPr>
              <w:jc w:val="center"/>
              <w:rPr>
                <w:rFonts w:ascii="Arial" w:eastAsia="Times New Roman" w:hAnsi="Arial" w:cs="Arial"/>
                <w:vanish/>
                <w:sz w:val="20"/>
                <w:szCs w:val="20"/>
              </w:rPr>
            </w:pPr>
          </w:p>
          <w:p w:rsidR="00945BC5" w:rsidRPr="00D915B0" w:rsidRDefault="00945BC5">
            <w:pPr>
              <w:jc w:val="center"/>
              <w:rPr>
                <w:rFonts w:ascii="Arial" w:eastAsia="Times New Roman" w:hAnsi="Arial" w:cs="Arial"/>
                <w:sz w:val="20"/>
                <w:szCs w:val="20"/>
              </w:rPr>
            </w:pPr>
          </w:p>
        </w:tc>
      </w:tr>
    </w:tbl>
    <w:p w:rsidR="00945BC5" w:rsidRDefault="00945BC5">
      <w:pPr>
        <w:divId w:val="99450058"/>
        <w:rPr>
          <w:rFonts w:eastAsia="Times New Roman"/>
        </w:rPr>
      </w:pPr>
    </w:p>
    <w:sectPr w:rsidR="00945BC5" w:rsidSect="00801DC0">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E2DBA"/>
    <w:rsid w:val="00014B81"/>
    <w:rsid w:val="00037D8F"/>
    <w:rsid w:val="0008069E"/>
    <w:rsid w:val="00082189"/>
    <w:rsid w:val="000D7ACC"/>
    <w:rsid w:val="00106F3A"/>
    <w:rsid w:val="00114A57"/>
    <w:rsid w:val="00176C7F"/>
    <w:rsid w:val="0019791F"/>
    <w:rsid w:val="001B29DC"/>
    <w:rsid w:val="001C034A"/>
    <w:rsid w:val="001C78CA"/>
    <w:rsid w:val="002170AE"/>
    <w:rsid w:val="00235A1C"/>
    <w:rsid w:val="0027128F"/>
    <w:rsid w:val="003033CA"/>
    <w:rsid w:val="00332A03"/>
    <w:rsid w:val="00337443"/>
    <w:rsid w:val="003B5A54"/>
    <w:rsid w:val="00451BF2"/>
    <w:rsid w:val="00460C0E"/>
    <w:rsid w:val="004C091A"/>
    <w:rsid w:val="004D42AB"/>
    <w:rsid w:val="004D4A88"/>
    <w:rsid w:val="005121DF"/>
    <w:rsid w:val="00514365"/>
    <w:rsid w:val="0053157A"/>
    <w:rsid w:val="00545D2D"/>
    <w:rsid w:val="00586E63"/>
    <w:rsid w:val="005A628F"/>
    <w:rsid w:val="005E2DBA"/>
    <w:rsid w:val="006B7308"/>
    <w:rsid w:val="006C6560"/>
    <w:rsid w:val="00702BD0"/>
    <w:rsid w:val="00801DC0"/>
    <w:rsid w:val="008146CC"/>
    <w:rsid w:val="008C64EB"/>
    <w:rsid w:val="009306C1"/>
    <w:rsid w:val="00945BC5"/>
    <w:rsid w:val="009E3FA5"/>
    <w:rsid w:val="00A52041"/>
    <w:rsid w:val="00A53EC3"/>
    <w:rsid w:val="00B50726"/>
    <w:rsid w:val="00C40C47"/>
    <w:rsid w:val="00C57DB5"/>
    <w:rsid w:val="00C64880"/>
    <w:rsid w:val="00D915B0"/>
    <w:rsid w:val="00DC747F"/>
    <w:rsid w:val="00DF2CE6"/>
    <w:rsid w:val="00E90EDD"/>
    <w:rsid w:val="00EC42D7"/>
    <w:rsid w:val="00F73544"/>
    <w:rsid w:val="00F74446"/>
    <w:rsid w:val="00F8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color w:val="404040"/>
      <w:kern w:val="36"/>
      <w:sz w:val="27"/>
      <w:szCs w:val="27"/>
    </w:rPr>
  </w:style>
  <w:style w:type="paragraph" w:styleId="Heading2">
    <w:name w:val="heading 2"/>
    <w:basedOn w:val="Normal"/>
    <w:link w:val="Heading2Char"/>
    <w:uiPriority w:val="9"/>
    <w:qFormat/>
    <w:pPr>
      <w:spacing w:before="225" w:after="75"/>
      <w:outlineLvl w:val="1"/>
    </w:pPr>
    <w:rPr>
      <w:rFonts w:ascii="Arial" w:hAnsi="Arial" w:cs="Arial"/>
      <w:b/>
      <w:bCs/>
      <w:color w:val="404040"/>
      <w:sz w:val="20"/>
      <w:szCs w:val="20"/>
    </w:rPr>
  </w:style>
  <w:style w:type="paragraph" w:styleId="Heading3">
    <w:name w:val="heading 3"/>
    <w:basedOn w:val="Normal"/>
    <w:link w:val="Heading3Char"/>
    <w:uiPriority w:val="9"/>
    <w:qFormat/>
    <w:pPr>
      <w:spacing w:before="225" w:after="75"/>
      <w:outlineLvl w:val="2"/>
    </w:pPr>
    <w:rPr>
      <w:rFonts w:ascii="Arial" w:hAnsi="Arial" w:cs="Arial"/>
      <w:b/>
      <w:bCs/>
      <w:color w:val="40404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04040"/>
      <w:u w:val="single"/>
    </w:rPr>
  </w:style>
  <w:style w:type="character" w:styleId="FollowedHyperlink">
    <w:name w:val="FollowedHyperlink"/>
    <w:basedOn w:val="DefaultParagraphFont"/>
    <w:uiPriority w:val="99"/>
    <w:semiHidden/>
    <w:unhideWhenUsed/>
    <w:rPr>
      <w:color w:val="40404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hv-mgt-tabcnt">
    <w:name w:val="hv-mgt-tabcnt"/>
    <w:basedOn w:val="Normal"/>
    <w:pPr>
      <w:spacing w:before="75" w:after="75"/>
      <w:ind w:left="75" w:right="75"/>
    </w:pPr>
  </w:style>
  <w:style w:type="paragraph" w:customStyle="1" w:styleId="hv-mgt-table">
    <w:name w:val="hv-mgt-table"/>
    <w:basedOn w:val="Normal"/>
    <w:pPr>
      <w:jc w:val="center"/>
    </w:pPr>
  </w:style>
  <w:style w:type="paragraph" w:customStyle="1" w:styleId="sortingasc">
    <w:name w:val="sorting_asc"/>
    <w:basedOn w:val="Normal"/>
    <w:pPr>
      <w:spacing w:before="100" w:beforeAutospacing="1" w:after="100" w:afterAutospacing="1"/>
    </w:pPr>
  </w:style>
  <w:style w:type="paragraph" w:customStyle="1" w:styleId="sortingdesc">
    <w:name w:val="sorting_desc"/>
    <w:basedOn w:val="Normal"/>
    <w:pPr>
      <w:spacing w:before="100" w:beforeAutospacing="1" w:after="100" w:afterAutospacing="1"/>
    </w:pPr>
  </w:style>
  <w:style w:type="paragraph" w:customStyle="1" w:styleId="sorting">
    <w:name w:val="sorting"/>
    <w:basedOn w:val="Normal"/>
    <w:pPr>
      <w:spacing w:before="100" w:beforeAutospacing="1" w:after="100" w:afterAutospacing="1"/>
    </w:pPr>
  </w:style>
  <w:style w:type="paragraph" w:customStyle="1" w:styleId="sortingascdisabled">
    <w:name w:val="sorting_asc_disabled"/>
    <w:basedOn w:val="Normal"/>
    <w:pPr>
      <w:spacing w:before="100" w:beforeAutospacing="1" w:after="100" w:afterAutospacing="1"/>
    </w:pPr>
  </w:style>
  <w:style w:type="paragraph" w:customStyle="1" w:styleId="sortingdescdisabled">
    <w:name w:val="sorting_desc_disabled"/>
    <w:basedOn w:val="Normal"/>
    <w:pPr>
      <w:spacing w:before="100" w:beforeAutospacing="1" w:after="100" w:afterAutospacing="1"/>
    </w:pPr>
  </w:style>
  <w:style w:type="paragraph" w:customStyle="1" w:styleId="top">
    <w:name w:val="top"/>
    <w:basedOn w:val="Normal"/>
    <w:pPr>
      <w:pBdr>
        <w:top w:val="single" w:sz="6" w:space="11" w:color="CCCCCC"/>
        <w:left w:val="single" w:sz="6" w:space="11" w:color="CCCCCC"/>
        <w:bottom w:val="single" w:sz="6" w:space="11" w:color="CCCCCC"/>
        <w:right w:val="single" w:sz="6" w:space="11" w:color="CCCCCC"/>
      </w:pBdr>
      <w:shd w:val="clear" w:color="auto" w:fill="F5F5F5"/>
      <w:spacing w:before="100" w:beforeAutospacing="1" w:after="100" w:afterAutospacing="1"/>
    </w:pPr>
  </w:style>
  <w:style w:type="paragraph" w:customStyle="1" w:styleId="bottom">
    <w:name w:val="bottom"/>
    <w:basedOn w:val="Normal"/>
    <w:pPr>
      <w:pBdr>
        <w:top w:val="single" w:sz="6" w:space="11" w:color="CCCCCC"/>
        <w:left w:val="single" w:sz="6" w:space="11" w:color="CCCCCC"/>
        <w:bottom w:val="single" w:sz="6" w:space="11" w:color="CCCCCC"/>
        <w:right w:val="single" w:sz="6" w:space="11" w:color="CCCCCC"/>
      </w:pBdr>
      <w:shd w:val="clear" w:color="auto" w:fill="F5F5F5"/>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show-hide-cols">
    <w:name w:val="show-hide-cols"/>
    <w:basedOn w:val="Normal"/>
    <w:pPr>
      <w:spacing w:before="100" w:beforeAutospacing="1" w:after="100" w:afterAutospacing="1"/>
      <w:jc w:val="right"/>
    </w:pPr>
  </w:style>
  <w:style w:type="paragraph" w:customStyle="1" w:styleId="jqplot-target">
    <w:name w:val="jqplot-target"/>
    <w:basedOn w:val="Normal"/>
    <w:pPr>
      <w:spacing w:before="100" w:beforeAutospacing="1" w:after="100" w:afterAutospacing="1"/>
    </w:pPr>
    <w:rPr>
      <w:rFonts w:ascii="Trebuchet MS" w:hAnsi="Trebuchet MS"/>
      <w:color w:val="666666"/>
    </w:rPr>
  </w:style>
  <w:style w:type="paragraph" w:customStyle="1" w:styleId="jqplot-axis">
    <w:name w:val="jqplot-axis"/>
    <w:basedOn w:val="Normal"/>
    <w:pPr>
      <w:spacing w:before="100" w:beforeAutospacing="1" w:after="100" w:afterAutospacing="1"/>
    </w:pPr>
  </w:style>
  <w:style w:type="paragraph" w:customStyle="1" w:styleId="jqplot-xaxis">
    <w:name w:val="jqplot-xaxis"/>
    <w:basedOn w:val="Normal"/>
    <w:pPr>
      <w:spacing w:before="150" w:after="100" w:afterAutospacing="1"/>
    </w:pPr>
  </w:style>
  <w:style w:type="paragraph" w:customStyle="1" w:styleId="jqplot-x2axis">
    <w:name w:val="jqplot-x2axis"/>
    <w:basedOn w:val="Normal"/>
    <w:pPr>
      <w:spacing w:before="100" w:beforeAutospacing="1" w:after="150"/>
    </w:pPr>
  </w:style>
  <w:style w:type="paragraph" w:customStyle="1" w:styleId="jqplot-yaxis">
    <w:name w:val="jqplot-yaxis"/>
    <w:basedOn w:val="Normal"/>
    <w:pPr>
      <w:spacing w:before="100" w:beforeAutospacing="1" w:after="100" w:afterAutospacing="1"/>
      <w:ind w:right="150"/>
    </w:pPr>
  </w:style>
  <w:style w:type="paragraph" w:customStyle="1" w:styleId="jqplot-y2axis">
    <w:name w:val="jqplot-y2axis"/>
    <w:basedOn w:val="Normal"/>
    <w:pPr>
      <w:spacing w:before="100" w:beforeAutospacing="1" w:after="100" w:afterAutospacing="1"/>
      <w:ind w:left="150" w:right="150"/>
    </w:pPr>
  </w:style>
  <w:style w:type="paragraph" w:customStyle="1" w:styleId="jqplot-y3axis">
    <w:name w:val="jqplot-y3axis"/>
    <w:basedOn w:val="Normal"/>
    <w:pPr>
      <w:spacing w:before="100" w:beforeAutospacing="1" w:after="100" w:afterAutospacing="1"/>
      <w:ind w:left="150" w:right="150"/>
    </w:pPr>
  </w:style>
  <w:style w:type="paragraph" w:customStyle="1" w:styleId="jqplot-y4axis">
    <w:name w:val="jqplot-y4axis"/>
    <w:basedOn w:val="Normal"/>
    <w:pPr>
      <w:spacing w:before="100" w:beforeAutospacing="1" w:after="100" w:afterAutospacing="1"/>
      <w:ind w:left="150" w:right="150"/>
    </w:pPr>
  </w:style>
  <w:style w:type="paragraph" w:customStyle="1" w:styleId="jqplot-y5axis">
    <w:name w:val="jqplot-y5axis"/>
    <w:basedOn w:val="Normal"/>
    <w:pPr>
      <w:spacing w:before="100" w:beforeAutospacing="1" w:after="100" w:afterAutospacing="1"/>
      <w:ind w:left="150" w:right="150"/>
    </w:pPr>
  </w:style>
  <w:style w:type="paragraph" w:customStyle="1" w:styleId="jqplot-y6axis">
    <w:name w:val="jqplot-y6axis"/>
    <w:basedOn w:val="Normal"/>
    <w:pPr>
      <w:spacing w:before="100" w:beforeAutospacing="1" w:after="100" w:afterAutospacing="1"/>
      <w:ind w:left="150" w:right="150"/>
    </w:pPr>
  </w:style>
  <w:style w:type="paragraph" w:customStyle="1" w:styleId="jqplot-y7axis">
    <w:name w:val="jqplot-y7axis"/>
    <w:basedOn w:val="Normal"/>
    <w:pPr>
      <w:spacing w:before="100" w:beforeAutospacing="1" w:after="100" w:afterAutospacing="1"/>
      <w:ind w:left="150" w:right="150"/>
    </w:pPr>
  </w:style>
  <w:style w:type="paragraph" w:customStyle="1" w:styleId="jqplot-y8axis">
    <w:name w:val="jqplot-y8axis"/>
    <w:basedOn w:val="Normal"/>
    <w:pPr>
      <w:spacing w:before="100" w:beforeAutospacing="1" w:after="100" w:afterAutospacing="1"/>
      <w:ind w:left="150" w:right="150"/>
    </w:pPr>
  </w:style>
  <w:style w:type="paragraph" w:customStyle="1" w:styleId="jqplot-y9axis">
    <w:name w:val="jqplot-y9axis"/>
    <w:basedOn w:val="Normal"/>
    <w:pPr>
      <w:spacing w:before="100" w:beforeAutospacing="1" w:after="100" w:afterAutospacing="1"/>
      <w:ind w:left="150" w:right="150"/>
    </w:pPr>
  </w:style>
  <w:style w:type="paragraph" w:customStyle="1" w:styleId="jqplot-xaxis-tick">
    <w:name w:val="jqplot-xaxis-tick"/>
    <w:basedOn w:val="Normal"/>
    <w:pPr>
      <w:spacing w:before="100" w:beforeAutospacing="1" w:after="100" w:afterAutospacing="1"/>
      <w:textAlignment w:val="top"/>
    </w:pPr>
  </w:style>
  <w:style w:type="paragraph" w:customStyle="1" w:styleId="jqplot-x2axis-tick">
    <w:name w:val="jqplot-x2axis-tick"/>
    <w:basedOn w:val="Normal"/>
    <w:pPr>
      <w:spacing w:before="100" w:beforeAutospacing="1" w:after="100" w:afterAutospacing="1"/>
      <w:textAlignment w:val="bottom"/>
    </w:pPr>
  </w:style>
  <w:style w:type="paragraph" w:customStyle="1" w:styleId="jqplot-yaxis-tick">
    <w:name w:val="jqplot-yaxis-tick"/>
    <w:basedOn w:val="Normal"/>
    <w:pPr>
      <w:spacing w:before="100" w:beforeAutospacing="1" w:after="100" w:afterAutospacing="1"/>
      <w:jc w:val="right"/>
    </w:pPr>
  </w:style>
  <w:style w:type="paragraph" w:customStyle="1" w:styleId="jqplot-y2axis-tick">
    <w:name w:val="jqplot-y2axis-tick"/>
    <w:basedOn w:val="Normal"/>
    <w:pPr>
      <w:spacing w:before="100" w:beforeAutospacing="1" w:after="100" w:afterAutospacing="1"/>
    </w:pPr>
  </w:style>
  <w:style w:type="paragraph" w:customStyle="1" w:styleId="jqplot-y3axis-tick">
    <w:name w:val="jqplot-y3axis-tick"/>
    <w:basedOn w:val="Normal"/>
    <w:pPr>
      <w:spacing w:before="100" w:beforeAutospacing="1" w:after="100" w:afterAutospacing="1"/>
    </w:pPr>
  </w:style>
  <w:style w:type="paragraph" w:customStyle="1" w:styleId="jqplot-y4axis-tick">
    <w:name w:val="jqplot-y4axis-tick"/>
    <w:basedOn w:val="Normal"/>
    <w:pPr>
      <w:spacing w:before="100" w:beforeAutospacing="1" w:after="100" w:afterAutospacing="1"/>
    </w:pPr>
  </w:style>
  <w:style w:type="paragraph" w:customStyle="1" w:styleId="jqplot-y5axis-tick">
    <w:name w:val="jqplot-y5axis-tick"/>
    <w:basedOn w:val="Normal"/>
    <w:pPr>
      <w:spacing w:before="100" w:beforeAutospacing="1" w:after="100" w:afterAutospacing="1"/>
    </w:pPr>
  </w:style>
  <w:style w:type="paragraph" w:customStyle="1" w:styleId="jqplot-y6axis-tick">
    <w:name w:val="jqplot-y6axis-tick"/>
    <w:basedOn w:val="Normal"/>
    <w:pPr>
      <w:spacing w:before="100" w:beforeAutospacing="1" w:after="100" w:afterAutospacing="1"/>
    </w:pPr>
  </w:style>
  <w:style w:type="paragraph" w:customStyle="1" w:styleId="jqplot-y7axis-tick">
    <w:name w:val="jqplot-y7axis-tick"/>
    <w:basedOn w:val="Normal"/>
    <w:pPr>
      <w:spacing w:before="100" w:beforeAutospacing="1" w:after="100" w:afterAutospacing="1"/>
    </w:pPr>
  </w:style>
  <w:style w:type="paragraph" w:customStyle="1" w:styleId="jqplot-y8axis-tick">
    <w:name w:val="jqplot-y8axis-tick"/>
    <w:basedOn w:val="Normal"/>
    <w:pPr>
      <w:spacing w:before="100" w:beforeAutospacing="1" w:after="100" w:afterAutospacing="1"/>
    </w:pPr>
  </w:style>
  <w:style w:type="paragraph" w:customStyle="1" w:styleId="jqplot-y9axis-tick">
    <w:name w:val="jqplot-y9axis-tick"/>
    <w:basedOn w:val="Normal"/>
    <w:pPr>
      <w:spacing w:before="100" w:beforeAutospacing="1" w:after="100" w:afterAutospacing="1"/>
    </w:pPr>
  </w:style>
  <w:style w:type="paragraph" w:customStyle="1" w:styleId="jqplot-metergauge-tick">
    <w:name w:val="jqplot-metergauge-tick"/>
    <w:basedOn w:val="Normal"/>
    <w:pPr>
      <w:spacing w:before="100" w:beforeAutospacing="1" w:after="100" w:afterAutospacing="1"/>
    </w:pPr>
    <w:rPr>
      <w:color w:val="999999"/>
      <w:sz w:val="18"/>
      <w:szCs w:val="18"/>
    </w:rPr>
  </w:style>
  <w:style w:type="paragraph" w:customStyle="1" w:styleId="jqplot-metergauge-label">
    <w:name w:val="jqplot-metergauge-label"/>
    <w:basedOn w:val="Normal"/>
    <w:pPr>
      <w:spacing w:before="100" w:beforeAutospacing="1" w:after="100" w:afterAutospacing="1"/>
    </w:pPr>
    <w:rPr>
      <w:color w:val="999999"/>
    </w:rPr>
  </w:style>
  <w:style w:type="paragraph" w:customStyle="1" w:styleId="jqplot-xaxis-label">
    <w:name w:val="jqplot-xaxis-label"/>
    <w:basedOn w:val="Normal"/>
    <w:pPr>
      <w:spacing w:before="150" w:after="100" w:afterAutospacing="1"/>
    </w:pPr>
    <w:rPr>
      <w:sz w:val="22"/>
      <w:szCs w:val="22"/>
    </w:rPr>
  </w:style>
  <w:style w:type="paragraph" w:customStyle="1" w:styleId="jqplot-x2axis-label">
    <w:name w:val="jqplot-x2axis-label"/>
    <w:basedOn w:val="Normal"/>
    <w:pPr>
      <w:spacing w:before="100" w:beforeAutospacing="1" w:after="150"/>
    </w:pPr>
    <w:rPr>
      <w:sz w:val="22"/>
      <w:szCs w:val="22"/>
    </w:rPr>
  </w:style>
  <w:style w:type="paragraph" w:customStyle="1" w:styleId="jqplot-yaxis-label">
    <w:name w:val="jqplot-yaxis-label"/>
    <w:basedOn w:val="Normal"/>
    <w:pPr>
      <w:spacing w:before="100" w:beforeAutospacing="1" w:after="100" w:afterAutospacing="1"/>
      <w:ind w:right="150"/>
    </w:pPr>
    <w:rPr>
      <w:sz w:val="22"/>
      <w:szCs w:val="22"/>
    </w:rPr>
  </w:style>
  <w:style w:type="paragraph" w:customStyle="1" w:styleId="jqplot-y2axis-label">
    <w:name w:val="jqplot-y2axis-label"/>
    <w:basedOn w:val="Normal"/>
    <w:pPr>
      <w:spacing w:before="100" w:beforeAutospacing="1" w:after="100" w:afterAutospacing="1"/>
    </w:pPr>
    <w:rPr>
      <w:sz w:val="22"/>
      <w:szCs w:val="22"/>
    </w:rPr>
  </w:style>
  <w:style w:type="paragraph" w:customStyle="1" w:styleId="jqplot-y3axis-label">
    <w:name w:val="jqplot-y3axis-label"/>
    <w:basedOn w:val="Normal"/>
    <w:pPr>
      <w:spacing w:before="100" w:beforeAutospacing="1" w:after="100" w:afterAutospacing="1"/>
    </w:pPr>
    <w:rPr>
      <w:sz w:val="22"/>
      <w:szCs w:val="22"/>
    </w:rPr>
  </w:style>
  <w:style w:type="paragraph" w:customStyle="1" w:styleId="jqplot-y4axis-label">
    <w:name w:val="jqplot-y4axis-label"/>
    <w:basedOn w:val="Normal"/>
    <w:pPr>
      <w:spacing w:before="100" w:beforeAutospacing="1" w:after="100" w:afterAutospacing="1"/>
    </w:pPr>
    <w:rPr>
      <w:sz w:val="22"/>
      <w:szCs w:val="22"/>
    </w:rPr>
  </w:style>
  <w:style w:type="paragraph" w:customStyle="1" w:styleId="jqplot-y5axis-label">
    <w:name w:val="jqplot-y5axis-label"/>
    <w:basedOn w:val="Normal"/>
    <w:pPr>
      <w:spacing w:before="100" w:beforeAutospacing="1" w:after="100" w:afterAutospacing="1"/>
    </w:pPr>
    <w:rPr>
      <w:sz w:val="22"/>
      <w:szCs w:val="22"/>
    </w:rPr>
  </w:style>
  <w:style w:type="paragraph" w:customStyle="1" w:styleId="jqplot-y6axis-label">
    <w:name w:val="jqplot-y6axis-label"/>
    <w:basedOn w:val="Normal"/>
    <w:pPr>
      <w:spacing w:before="100" w:beforeAutospacing="1" w:after="100" w:afterAutospacing="1"/>
    </w:pPr>
    <w:rPr>
      <w:sz w:val="22"/>
      <w:szCs w:val="22"/>
    </w:rPr>
  </w:style>
  <w:style w:type="paragraph" w:customStyle="1" w:styleId="jqplot-y7axis-label">
    <w:name w:val="jqplot-y7axis-label"/>
    <w:basedOn w:val="Normal"/>
    <w:pPr>
      <w:spacing w:before="100" w:beforeAutospacing="1" w:after="100" w:afterAutospacing="1"/>
    </w:pPr>
    <w:rPr>
      <w:sz w:val="22"/>
      <w:szCs w:val="22"/>
    </w:rPr>
  </w:style>
  <w:style w:type="paragraph" w:customStyle="1" w:styleId="jqplot-y8axis-label">
    <w:name w:val="jqplot-y8axis-label"/>
    <w:basedOn w:val="Normal"/>
    <w:pPr>
      <w:spacing w:before="100" w:beforeAutospacing="1" w:after="100" w:afterAutospacing="1"/>
    </w:pPr>
    <w:rPr>
      <w:sz w:val="22"/>
      <w:szCs w:val="22"/>
    </w:rPr>
  </w:style>
  <w:style w:type="paragraph" w:customStyle="1" w:styleId="jqplot-y9axis-label">
    <w:name w:val="jqplot-y9axis-label"/>
    <w:basedOn w:val="Normal"/>
    <w:pPr>
      <w:spacing w:before="100" w:beforeAutospacing="1" w:after="100" w:afterAutospacing="1"/>
    </w:pPr>
    <w:rPr>
      <w:sz w:val="22"/>
      <w:szCs w:val="22"/>
    </w:rPr>
  </w:style>
  <w:style w:type="paragraph" w:customStyle="1" w:styleId="jqplot-title">
    <w:name w:val="jqplot-title"/>
    <w:basedOn w:val="Normal"/>
    <w:pPr>
      <w:spacing w:before="100" w:beforeAutospacing="1" w:after="100" w:afterAutospacing="1"/>
    </w:pPr>
    <w:rPr>
      <w:sz w:val="29"/>
      <w:szCs w:val="29"/>
    </w:rPr>
  </w:style>
  <w:style w:type="paragraph" w:customStyle="1" w:styleId="jqplot-cursor-tooltip">
    <w:name w:val="jqplot-cursor-tooltip"/>
    <w:basedOn w:val="Normal"/>
    <w:pPr>
      <w:pBdr>
        <w:top w:val="single" w:sz="6" w:space="1" w:color="CCCCCC"/>
        <w:left w:val="single" w:sz="6" w:space="1" w:color="CCCCCC"/>
        <w:bottom w:val="single" w:sz="6" w:space="1" w:color="CCCCCC"/>
        <w:right w:val="single" w:sz="6" w:space="1" w:color="CCCCCC"/>
      </w:pBdr>
      <w:spacing w:before="100" w:beforeAutospacing="1" w:after="100" w:afterAutospacing="1"/>
    </w:pPr>
    <w:rPr>
      <w:sz w:val="18"/>
      <w:szCs w:val="18"/>
    </w:rPr>
  </w:style>
  <w:style w:type="paragraph" w:customStyle="1" w:styleId="jqplot-highlighter-tooltip">
    <w:name w:val="jqplot-highlighter-tooltip"/>
    <w:basedOn w:val="Normal"/>
    <w:pPr>
      <w:pBdr>
        <w:top w:val="single" w:sz="12" w:space="2" w:color="auto"/>
        <w:left w:val="single" w:sz="12" w:space="2" w:color="auto"/>
        <w:bottom w:val="single" w:sz="12" w:space="2" w:color="auto"/>
        <w:right w:val="single" w:sz="12" w:space="2" w:color="auto"/>
      </w:pBdr>
      <w:shd w:val="clear" w:color="auto" w:fill="FFFFFF"/>
      <w:spacing w:before="100" w:beforeAutospacing="1" w:after="100" w:afterAutospacing="1"/>
    </w:pPr>
    <w:rPr>
      <w:rFonts w:ascii="Lucida Sans Unicode" w:hAnsi="Lucida Sans Unicode" w:cs="Lucida Sans Unicode"/>
      <w:color w:val="333333"/>
      <w:sz w:val="18"/>
      <w:szCs w:val="18"/>
    </w:rPr>
  </w:style>
  <w:style w:type="paragraph" w:customStyle="1" w:styleId="jqplot-canvasoverlay-tooltip">
    <w:name w:val="jqplot-canvasoverlay-tooltip"/>
    <w:basedOn w:val="Normal"/>
    <w:pPr>
      <w:pBdr>
        <w:top w:val="single" w:sz="12" w:space="2" w:color="auto"/>
        <w:left w:val="single" w:sz="12" w:space="2" w:color="auto"/>
        <w:bottom w:val="single" w:sz="12" w:space="2" w:color="auto"/>
        <w:right w:val="single" w:sz="12" w:space="2" w:color="auto"/>
      </w:pBdr>
      <w:shd w:val="clear" w:color="auto" w:fill="FFFFFF"/>
      <w:spacing w:before="100" w:beforeAutospacing="1" w:after="100" w:afterAutospacing="1"/>
    </w:pPr>
    <w:rPr>
      <w:rFonts w:ascii="Lucida Sans Unicode" w:hAnsi="Lucida Sans Unicode" w:cs="Lucida Sans Unicode"/>
      <w:color w:val="64377C"/>
      <w:sz w:val="18"/>
      <w:szCs w:val="18"/>
    </w:rPr>
  </w:style>
  <w:style w:type="paragraph" w:customStyle="1" w:styleId="jqplot-canvasoverlay-linename">
    <w:name w:val="jqplot-canvasoverlay-linename"/>
    <w:basedOn w:val="Normal"/>
    <w:pPr>
      <w:spacing w:before="100" w:beforeAutospacing="1" w:after="100" w:afterAutospacing="1"/>
      <w:ind w:left="75"/>
    </w:pPr>
    <w:rPr>
      <w:color w:val="000000"/>
    </w:rPr>
  </w:style>
  <w:style w:type="paragraph" w:customStyle="1" w:styleId="jqplot-point-label">
    <w:name w:val="jqplot-point-label"/>
    <w:basedOn w:val="Normal"/>
    <w:pPr>
      <w:spacing w:before="100" w:beforeAutospacing="1" w:after="100" w:afterAutospacing="1"/>
    </w:pPr>
    <w:rPr>
      <w:sz w:val="18"/>
      <w:szCs w:val="18"/>
    </w:rPr>
  </w:style>
  <w:style w:type="paragraph" w:customStyle="1" w:styleId="jqplot-error">
    <w:name w:val="jqplot-error"/>
    <w:basedOn w:val="Normal"/>
    <w:pPr>
      <w:spacing w:before="100" w:beforeAutospacing="1" w:after="100" w:afterAutospacing="1"/>
      <w:jc w:val="center"/>
    </w:pPr>
  </w:style>
  <w:style w:type="paragraph" w:customStyle="1" w:styleId="jqplot-radar-ticks">
    <w:name w:val="jqplot-radar-ticks"/>
    <w:basedOn w:val="Normal"/>
    <w:pPr>
      <w:spacing w:before="100" w:beforeAutospacing="1" w:after="100" w:afterAutospacing="1"/>
    </w:pPr>
  </w:style>
  <w:style w:type="paragraph" w:customStyle="1" w:styleId="jqplot-table-legend-body">
    <w:name w:val="jqplot-table-legend-body"/>
    <w:basedOn w:val="Normal"/>
    <w:pPr>
      <w:spacing w:before="100" w:beforeAutospacing="1" w:after="100" w:afterAutospacing="1"/>
    </w:pPr>
  </w:style>
  <w:style w:type="character" w:customStyle="1" w:styleId="sortarrow">
    <w:name w:val="sortarrow"/>
    <w:basedOn w:val="DefaultParagraphFont"/>
  </w:style>
  <w:style w:type="character" w:customStyle="1" w:styleId="sortarrow1">
    <w:name w:val="sortarrow1"/>
    <w:basedOn w:val="DefaultParagraphFont"/>
    <w:rPr>
      <w:sz w:val="20"/>
      <w:szCs w:val="20"/>
    </w:rPr>
  </w:style>
  <w:style w:type="paragraph" w:customStyle="1" w:styleId="jqplot-table-legend-body1">
    <w:name w:val="jqplot-table-legend-body1"/>
    <w:basedOn w:val="Normal"/>
    <w:pPr>
      <w:spacing w:before="100" w:beforeAutospacing="1" w:after="100" w:afterAutospacing="1"/>
    </w:pPr>
  </w:style>
  <w:style w:type="character" w:customStyle="1" w:styleId="htmlmarkup">
    <w:name w:val="htmlmarkup"/>
    <w:basedOn w:val="DefaultParagraphFont"/>
  </w:style>
  <w:style w:type="paragraph" w:styleId="BalloonText">
    <w:name w:val="Balloon Text"/>
    <w:basedOn w:val="Normal"/>
    <w:link w:val="BalloonTextChar"/>
    <w:uiPriority w:val="99"/>
    <w:semiHidden/>
    <w:unhideWhenUsed/>
    <w:rsid w:val="005E2DBA"/>
    <w:rPr>
      <w:rFonts w:ascii="Tahoma" w:hAnsi="Tahoma" w:cs="Tahoma"/>
      <w:sz w:val="16"/>
      <w:szCs w:val="16"/>
    </w:rPr>
  </w:style>
  <w:style w:type="character" w:customStyle="1" w:styleId="BalloonTextChar">
    <w:name w:val="Balloon Text Char"/>
    <w:basedOn w:val="DefaultParagraphFont"/>
    <w:link w:val="BalloonText"/>
    <w:uiPriority w:val="99"/>
    <w:semiHidden/>
    <w:rsid w:val="005E2DB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color w:val="404040"/>
      <w:kern w:val="36"/>
      <w:sz w:val="27"/>
      <w:szCs w:val="27"/>
    </w:rPr>
  </w:style>
  <w:style w:type="paragraph" w:styleId="Heading2">
    <w:name w:val="heading 2"/>
    <w:basedOn w:val="Normal"/>
    <w:link w:val="Heading2Char"/>
    <w:uiPriority w:val="9"/>
    <w:qFormat/>
    <w:pPr>
      <w:spacing w:before="225" w:after="75"/>
      <w:outlineLvl w:val="1"/>
    </w:pPr>
    <w:rPr>
      <w:rFonts w:ascii="Arial" w:hAnsi="Arial" w:cs="Arial"/>
      <w:b/>
      <w:bCs/>
      <w:color w:val="404040"/>
      <w:sz w:val="20"/>
      <w:szCs w:val="20"/>
    </w:rPr>
  </w:style>
  <w:style w:type="paragraph" w:styleId="Heading3">
    <w:name w:val="heading 3"/>
    <w:basedOn w:val="Normal"/>
    <w:link w:val="Heading3Char"/>
    <w:uiPriority w:val="9"/>
    <w:qFormat/>
    <w:pPr>
      <w:spacing w:before="225" w:after="75"/>
      <w:outlineLvl w:val="2"/>
    </w:pPr>
    <w:rPr>
      <w:rFonts w:ascii="Arial" w:hAnsi="Arial" w:cs="Arial"/>
      <w:b/>
      <w:bCs/>
      <w:color w:val="40404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04040"/>
      <w:u w:val="single"/>
    </w:rPr>
  </w:style>
  <w:style w:type="character" w:styleId="FollowedHyperlink">
    <w:name w:val="FollowedHyperlink"/>
    <w:basedOn w:val="DefaultParagraphFont"/>
    <w:uiPriority w:val="99"/>
    <w:semiHidden/>
    <w:unhideWhenUsed/>
    <w:rPr>
      <w:color w:val="40404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hv-mgt-tabcnt">
    <w:name w:val="hv-mgt-tabcnt"/>
    <w:basedOn w:val="Normal"/>
    <w:pPr>
      <w:spacing w:before="75" w:after="75"/>
      <w:ind w:left="75" w:right="75"/>
    </w:pPr>
  </w:style>
  <w:style w:type="paragraph" w:customStyle="1" w:styleId="hv-mgt-table">
    <w:name w:val="hv-mgt-table"/>
    <w:basedOn w:val="Normal"/>
    <w:pPr>
      <w:jc w:val="center"/>
    </w:pPr>
  </w:style>
  <w:style w:type="paragraph" w:customStyle="1" w:styleId="sortingasc">
    <w:name w:val="sorting_asc"/>
    <w:basedOn w:val="Normal"/>
    <w:pPr>
      <w:spacing w:before="100" w:beforeAutospacing="1" w:after="100" w:afterAutospacing="1"/>
    </w:pPr>
  </w:style>
  <w:style w:type="paragraph" w:customStyle="1" w:styleId="sortingdesc">
    <w:name w:val="sorting_desc"/>
    <w:basedOn w:val="Normal"/>
    <w:pPr>
      <w:spacing w:before="100" w:beforeAutospacing="1" w:after="100" w:afterAutospacing="1"/>
    </w:pPr>
  </w:style>
  <w:style w:type="paragraph" w:customStyle="1" w:styleId="sorting">
    <w:name w:val="sorting"/>
    <w:basedOn w:val="Normal"/>
    <w:pPr>
      <w:spacing w:before="100" w:beforeAutospacing="1" w:after="100" w:afterAutospacing="1"/>
    </w:pPr>
  </w:style>
  <w:style w:type="paragraph" w:customStyle="1" w:styleId="sortingascdisabled">
    <w:name w:val="sorting_asc_disabled"/>
    <w:basedOn w:val="Normal"/>
    <w:pPr>
      <w:spacing w:before="100" w:beforeAutospacing="1" w:after="100" w:afterAutospacing="1"/>
    </w:pPr>
  </w:style>
  <w:style w:type="paragraph" w:customStyle="1" w:styleId="sortingdescdisabled">
    <w:name w:val="sorting_desc_disabled"/>
    <w:basedOn w:val="Normal"/>
    <w:pPr>
      <w:spacing w:before="100" w:beforeAutospacing="1" w:after="100" w:afterAutospacing="1"/>
    </w:pPr>
  </w:style>
  <w:style w:type="paragraph" w:customStyle="1" w:styleId="top">
    <w:name w:val="top"/>
    <w:basedOn w:val="Normal"/>
    <w:pPr>
      <w:pBdr>
        <w:top w:val="single" w:sz="6" w:space="11" w:color="CCCCCC"/>
        <w:left w:val="single" w:sz="6" w:space="11" w:color="CCCCCC"/>
        <w:bottom w:val="single" w:sz="6" w:space="11" w:color="CCCCCC"/>
        <w:right w:val="single" w:sz="6" w:space="11" w:color="CCCCCC"/>
      </w:pBdr>
      <w:shd w:val="clear" w:color="auto" w:fill="F5F5F5"/>
      <w:spacing w:before="100" w:beforeAutospacing="1" w:after="100" w:afterAutospacing="1"/>
    </w:pPr>
  </w:style>
  <w:style w:type="paragraph" w:customStyle="1" w:styleId="bottom">
    <w:name w:val="bottom"/>
    <w:basedOn w:val="Normal"/>
    <w:pPr>
      <w:pBdr>
        <w:top w:val="single" w:sz="6" w:space="11" w:color="CCCCCC"/>
        <w:left w:val="single" w:sz="6" w:space="11" w:color="CCCCCC"/>
        <w:bottom w:val="single" w:sz="6" w:space="11" w:color="CCCCCC"/>
        <w:right w:val="single" w:sz="6" w:space="11" w:color="CCCCCC"/>
      </w:pBdr>
      <w:shd w:val="clear" w:color="auto" w:fill="F5F5F5"/>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show-hide-cols">
    <w:name w:val="show-hide-cols"/>
    <w:basedOn w:val="Normal"/>
    <w:pPr>
      <w:spacing w:before="100" w:beforeAutospacing="1" w:after="100" w:afterAutospacing="1"/>
      <w:jc w:val="right"/>
    </w:pPr>
  </w:style>
  <w:style w:type="paragraph" w:customStyle="1" w:styleId="jqplot-target">
    <w:name w:val="jqplot-target"/>
    <w:basedOn w:val="Normal"/>
    <w:pPr>
      <w:spacing w:before="100" w:beforeAutospacing="1" w:after="100" w:afterAutospacing="1"/>
    </w:pPr>
    <w:rPr>
      <w:rFonts w:ascii="Trebuchet MS" w:hAnsi="Trebuchet MS"/>
      <w:color w:val="666666"/>
    </w:rPr>
  </w:style>
  <w:style w:type="paragraph" w:customStyle="1" w:styleId="jqplot-axis">
    <w:name w:val="jqplot-axis"/>
    <w:basedOn w:val="Normal"/>
    <w:pPr>
      <w:spacing w:before="100" w:beforeAutospacing="1" w:after="100" w:afterAutospacing="1"/>
    </w:pPr>
  </w:style>
  <w:style w:type="paragraph" w:customStyle="1" w:styleId="jqplot-xaxis">
    <w:name w:val="jqplot-xaxis"/>
    <w:basedOn w:val="Normal"/>
    <w:pPr>
      <w:spacing w:before="150" w:after="100" w:afterAutospacing="1"/>
    </w:pPr>
  </w:style>
  <w:style w:type="paragraph" w:customStyle="1" w:styleId="jqplot-x2axis">
    <w:name w:val="jqplot-x2axis"/>
    <w:basedOn w:val="Normal"/>
    <w:pPr>
      <w:spacing w:before="100" w:beforeAutospacing="1" w:after="150"/>
    </w:pPr>
  </w:style>
  <w:style w:type="paragraph" w:customStyle="1" w:styleId="jqplot-yaxis">
    <w:name w:val="jqplot-yaxis"/>
    <w:basedOn w:val="Normal"/>
    <w:pPr>
      <w:spacing w:before="100" w:beforeAutospacing="1" w:after="100" w:afterAutospacing="1"/>
      <w:ind w:right="150"/>
    </w:pPr>
  </w:style>
  <w:style w:type="paragraph" w:customStyle="1" w:styleId="jqplot-y2axis">
    <w:name w:val="jqplot-y2axis"/>
    <w:basedOn w:val="Normal"/>
    <w:pPr>
      <w:spacing w:before="100" w:beforeAutospacing="1" w:after="100" w:afterAutospacing="1"/>
      <w:ind w:left="150" w:right="150"/>
    </w:pPr>
  </w:style>
  <w:style w:type="paragraph" w:customStyle="1" w:styleId="jqplot-y3axis">
    <w:name w:val="jqplot-y3axis"/>
    <w:basedOn w:val="Normal"/>
    <w:pPr>
      <w:spacing w:before="100" w:beforeAutospacing="1" w:after="100" w:afterAutospacing="1"/>
      <w:ind w:left="150" w:right="150"/>
    </w:pPr>
  </w:style>
  <w:style w:type="paragraph" w:customStyle="1" w:styleId="jqplot-y4axis">
    <w:name w:val="jqplot-y4axis"/>
    <w:basedOn w:val="Normal"/>
    <w:pPr>
      <w:spacing w:before="100" w:beforeAutospacing="1" w:after="100" w:afterAutospacing="1"/>
      <w:ind w:left="150" w:right="150"/>
    </w:pPr>
  </w:style>
  <w:style w:type="paragraph" w:customStyle="1" w:styleId="jqplot-y5axis">
    <w:name w:val="jqplot-y5axis"/>
    <w:basedOn w:val="Normal"/>
    <w:pPr>
      <w:spacing w:before="100" w:beforeAutospacing="1" w:after="100" w:afterAutospacing="1"/>
      <w:ind w:left="150" w:right="150"/>
    </w:pPr>
  </w:style>
  <w:style w:type="paragraph" w:customStyle="1" w:styleId="jqplot-y6axis">
    <w:name w:val="jqplot-y6axis"/>
    <w:basedOn w:val="Normal"/>
    <w:pPr>
      <w:spacing w:before="100" w:beforeAutospacing="1" w:after="100" w:afterAutospacing="1"/>
      <w:ind w:left="150" w:right="150"/>
    </w:pPr>
  </w:style>
  <w:style w:type="paragraph" w:customStyle="1" w:styleId="jqplot-y7axis">
    <w:name w:val="jqplot-y7axis"/>
    <w:basedOn w:val="Normal"/>
    <w:pPr>
      <w:spacing w:before="100" w:beforeAutospacing="1" w:after="100" w:afterAutospacing="1"/>
      <w:ind w:left="150" w:right="150"/>
    </w:pPr>
  </w:style>
  <w:style w:type="paragraph" w:customStyle="1" w:styleId="jqplot-y8axis">
    <w:name w:val="jqplot-y8axis"/>
    <w:basedOn w:val="Normal"/>
    <w:pPr>
      <w:spacing w:before="100" w:beforeAutospacing="1" w:after="100" w:afterAutospacing="1"/>
      <w:ind w:left="150" w:right="150"/>
    </w:pPr>
  </w:style>
  <w:style w:type="paragraph" w:customStyle="1" w:styleId="jqplot-y9axis">
    <w:name w:val="jqplot-y9axis"/>
    <w:basedOn w:val="Normal"/>
    <w:pPr>
      <w:spacing w:before="100" w:beforeAutospacing="1" w:after="100" w:afterAutospacing="1"/>
      <w:ind w:left="150" w:right="150"/>
    </w:pPr>
  </w:style>
  <w:style w:type="paragraph" w:customStyle="1" w:styleId="jqplot-xaxis-tick">
    <w:name w:val="jqplot-xaxis-tick"/>
    <w:basedOn w:val="Normal"/>
    <w:pPr>
      <w:spacing w:before="100" w:beforeAutospacing="1" w:after="100" w:afterAutospacing="1"/>
      <w:textAlignment w:val="top"/>
    </w:pPr>
  </w:style>
  <w:style w:type="paragraph" w:customStyle="1" w:styleId="jqplot-x2axis-tick">
    <w:name w:val="jqplot-x2axis-tick"/>
    <w:basedOn w:val="Normal"/>
    <w:pPr>
      <w:spacing w:before="100" w:beforeAutospacing="1" w:after="100" w:afterAutospacing="1"/>
      <w:textAlignment w:val="bottom"/>
    </w:pPr>
  </w:style>
  <w:style w:type="paragraph" w:customStyle="1" w:styleId="jqplot-yaxis-tick">
    <w:name w:val="jqplot-yaxis-tick"/>
    <w:basedOn w:val="Normal"/>
    <w:pPr>
      <w:spacing w:before="100" w:beforeAutospacing="1" w:after="100" w:afterAutospacing="1"/>
      <w:jc w:val="right"/>
    </w:pPr>
  </w:style>
  <w:style w:type="paragraph" w:customStyle="1" w:styleId="jqplot-y2axis-tick">
    <w:name w:val="jqplot-y2axis-tick"/>
    <w:basedOn w:val="Normal"/>
    <w:pPr>
      <w:spacing w:before="100" w:beforeAutospacing="1" w:after="100" w:afterAutospacing="1"/>
    </w:pPr>
  </w:style>
  <w:style w:type="paragraph" w:customStyle="1" w:styleId="jqplot-y3axis-tick">
    <w:name w:val="jqplot-y3axis-tick"/>
    <w:basedOn w:val="Normal"/>
    <w:pPr>
      <w:spacing w:before="100" w:beforeAutospacing="1" w:after="100" w:afterAutospacing="1"/>
    </w:pPr>
  </w:style>
  <w:style w:type="paragraph" w:customStyle="1" w:styleId="jqplot-y4axis-tick">
    <w:name w:val="jqplot-y4axis-tick"/>
    <w:basedOn w:val="Normal"/>
    <w:pPr>
      <w:spacing w:before="100" w:beforeAutospacing="1" w:after="100" w:afterAutospacing="1"/>
    </w:pPr>
  </w:style>
  <w:style w:type="paragraph" w:customStyle="1" w:styleId="jqplot-y5axis-tick">
    <w:name w:val="jqplot-y5axis-tick"/>
    <w:basedOn w:val="Normal"/>
    <w:pPr>
      <w:spacing w:before="100" w:beforeAutospacing="1" w:after="100" w:afterAutospacing="1"/>
    </w:pPr>
  </w:style>
  <w:style w:type="paragraph" w:customStyle="1" w:styleId="jqplot-y6axis-tick">
    <w:name w:val="jqplot-y6axis-tick"/>
    <w:basedOn w:val="Normal"/>
    <w:pPr>
      <w:spacing w:before="100" w:beforeAutospacing="1" w:after="100" w:afterAutospacing="1"/>
    </w:pPr>
  </w:style>
  <w:style w:type="paragraph" w:customStyle="1" w:styleId="jqplot-y7axis-tick">
    <w:name w:val="jqplot-y7axis-tick"/>
    <w:basedOn w:val="Normal"/>
    <w:pPr>
      <w:spacing w:before="100" w:beforeAutospacing="1" w:after="100" w:afterAutospacing="1"/>
    </w:pPr>
  </w:style>
  <w:style w:type="paragraph" w:customStyle="1" w:styleId="jqplot-y8axis-tick">
    <w:name w:val="jqplot-y8axis-tick"/>
    <w:basedOn w:val="Normal"/>
    <w:pPr>
      <w:spacing w:before="100" w:beforeAutospacing="1" w:after="100" w:afterAutospacing="1"/>
    </w:pPr>
  </w:style>
  <w:style w:type="paragraph" w:customStyle="1" w:styleId="jqplot-y9axis-tick">
    <w:name w:val="jqplot-y9axis-tick"/>
    <w:basedOn w:val="Normal"/>
    <w:pPr>
      <w:spacing w:before="100" w:beforeAutospacing="1" w:after="100" w:afterAutospacing="1"/>
    </w:pPr>
  </w:style>
  <w:style w:type="paragraph" w:customStyle="1" w:styleId="jqplot-metergauge-tick">
    <w:name w:val="jqplot-metergauge-tick"/>
    <w:basedOn w:val="Normal"/>
    <w:pPr>
      <w:spacing w:before="100" w:beforeAutospacing="1" w:after="100" w:afterAutospacing="1"/>
    </w:pPr>
    <w:rPr>
      <w:color w:val="999999"/>
      <w:sz w:val="18"/>
      <w:szCs w:val="18"/>
    </w:rPr>
  </w:style>
  <w:style w:type="paragraph" w:customStyle="1" w:styleId="jqplot-metergauge-label">
    <w:name w:val="jqplot-metergauge-label"/>
    <w:basedOn w:val="Normal"/>
    <w:pPr>
      <w:spacing w:before="100" w:beforeAutospacing="1" w:after="100" w:afterAutospacing="1"/>
    </w:pPr>
    <w:rPr>
      <w:color w:val="999999"/>
    </w:rPr>
  </w:style>
  <w:style w:type="paragraph" w:customStyle="1" w:styleId="jqplot-xaxis-label">
    <w:name w:val="jqplot-xaxis-label"/>
    <w:basedOn w:val="Normal"/>
    <w:pPr>
      <w:spacing w:before="150" w:after="100" w:afterAutospacing="1"/>
    </w:pPr>
    <w:rPr>
      <w:sz w:val="22"/>
      <w:szCs w:val="22"/>
    </w:rPr>
  </w:style>
  <w:style w:type="paragraph" w:customStyle="1" w:styleId="jqplot-x2axis-label">
    <w:name w:val="jqplot-x2axis-label"/>
    <w:basedOn w:val="Normal"/>
    <w:pPr>
      <w:spacing w:before="100" w:beforeAutospacing="1" w:after="150"/>
    </w:pPr>
    <w:rPr>
      <w:sz w:val="22"/>
      <w:szCs w:val="22"/>
    </w:rPr>
  </w:style>
  <w:style w:type="paragraph" w:customStyle="1" w:styleId="jqplot-yaxis-label">
    <w:name w:val="jqplot-yaxis-label"/>
    <w:basedOn w:val="Normal"/>
    <w:pPr>
      <w:spacing w:before="100" w:beforeAutospacing="1" w:after="100" w:afterAutospacing="1"/>
      <w:ind w:right="150"/>
    </w:pPr>
    <w:rPr>
      <w:sz w:val="22"/>
      <w:szCs w:val="22"/>
    </w:rPr>
  </w:style>
  <w:style w:type="paragraph" w:customStyle="1" w:styleId="jqplot-y2axis-label">
    <w:name w:val="jqplot-y2axis-label"/>
    <w:basedOn w:val="Normal"/>
    <w:pPr>
      <w:spacing w:before="100" w:beforeAutospacing="1" w:after="100" w:afterAutospacing="1"/>
    </w:pPr>
    <w:rPr>
      <w:sz w:val="22"/>
      <w:szCs w:val="22"/>
    </w:rPr>
  </w:style>
  <w:style w:type="paragraph" w:customStyle="1" w:styleId="jqplot-y3axis-label">
    <w:name w:val="jqplot-y3axis-label"/>
    <w:basedOn w:val="Normal"/>
    <w:pPr>
      <w:spacing w:before="100" w:beforeAutospacing="1" w:after="100" w:afterAutospacing="1"/>
    </w:pPr>
    <w:rPr>
      <w:sz w:val="22"/>
      <w:szCs w:val="22"/>
    </w:rPr>
  </w:style>
  <w:style w:type="paragraph" w:customStyle="1" w:styleId="jqplot-y4axis-label">
    <w:name w:val="jqplot-y4axis-label"/>
    <w:basedOn w:val="Normal"/>
    <w:pPr>
      <w:spacing w:before="100" w:beforeAutospacing="1" w:after="100" w:afterAutospacing="1"/>
    </w:pPr>
    <w:rPr>
      <w:sz w:val="22"/>
      <w:szCs w:val="22"/>
    </w:rPr>
  </w:style>
  <w:style w:type="paragraph" w:customStyle="1" w:styleId="jqplot-y5axis-label">
    <w:name w:val="jqplot-y5axis-label"/>
    <w:basedOn w:val="Normal"/>
    <w:pPr>
      <w:spacing w:before="100" w:beforeAutospacing="1" w:after="100" w:afterAutospacing="1"/>
    </w:pPr>
    <w:rPr>
      <w:sz w:val="22"/>
      <w:szCs w:val="22"/>
    </w:rPr>
  </w:style>
  <w:style w:type="paragraph" w:customStyle="1" w:styleId="jqplot-y6axis-label">
    <w:name w:val="jqplot-y6axis-label"/>
    <w:basedOn w:val="Normal"/>
    <w:pPr>
      <w:spacing w:before="100" w:beforeAutospacing="1" w:after="100" w:afterAutospacing="1"/>
    </w:pPr>
    <w:rPr>
      <w:sz w:val="22"/>
      <w:szCs w:val="22"/>
    </w:rPr>
  </w:style>
  <w:style w:type="paragraph" w:customStyle="1" w:styleId="jqplot-y7axis-label">
    <w:name w:val="jqplot-y7axis-label"/>
    <w:basedOn w:val="Normal"/>
    <w:pPr>
      <w:spacing w:before="100" w:beforeAutospacing="1" w:after="100" w:afterAutospacing="1"/>
    </w:pPr>
    <w:rPr>
      <w:sz w:val="22"/>
      <w:szCs w:val="22"/>
    </w:rPr>
  </w:style>
  <w:style w:type="paragraph" w:customStyle="1" w:styleId="jqplot-y8axis-label">
    <w:name w:val="jqplot-y8axis-label"/>
    <w:basedOn w:val="Normal"/>
    <w:pPr>
      <w:spacing w:before="100" w:beforeAutospacing="1" w:after="100" w:afterAutospacing="1"/>
    </w:pPr>
    <w:rPr>
      <w:sz w:val="22"/>
      <w:szCs w:val="22"/>
    </w:rPr>
  </w:style>
  <w:style w:type="paragraph" w:customStyle="1" w:styleId="jqplot-y9axis-label">
    <w:name w:val="jqplot-y9axis-label"/>
    <w:basedOn w:val="Normal"/>
    <w:pPr>
      <w:spacing w:before="100" w:beforeAutospacing="1" w:after="100" w:afterAutospacing="1"/>
    </w:pPr>
    <w:rPr>
      <w:sz w:val="22"/>
      <w:szCs w:val="22"/>
    </w:rPr>
  </w:style>
  <w:style w:type="paragraph" w:customStyle="1" w:styleId="jqplot-title">
    <w:name w:val="jqplot-title"/>
    <w:basedOn w:val="Normal"/>
    <w:pPr>
      <w:spacing w:before="100" w:beforeAutospacing="1" w:after="100" w:afterAutospacing="1"/>
    </w:pPr>
    <w:rPr>
      <w:sz w:val="29"/>
      <w:szCs w:val="29"/>
    </w:rPr>
  </w:style>
  <w:style w:type="paragraph" w:customStyle="1" w:styleId="jqplot-cursor-tooltip">
    <w:name w:val="jqplot-cursor-tooltip"/>
    <w:basedOn w:val="Normal"/>
    <w:pPr>
      <w:pBdr>
        <w:top w:val="single" w:sz="6" w:space="1" w:color="CCCCCC"/>
        <w:left w:val="single" w:sz="6" w:space="1" w:color="CCCCCC"/>
        <w:bottom w:val="single" w:sz="6" w:space="1" w:color="CCCCCC"/>
        <w:right w:val="single" w:sz="6" w:space="1" w:color="CCCCCC"/>
      </w:pBdr>
      <w:spacing w:before="100" w:beforeAutospacing="1" w:after="100" w:afterAutospacing="1"/>
    </w:pPr>
    <w:rPr>
      <w:sz w:val="18"/>
      <w:szCs w:val="18"/>
    </w:rPr>
  </w:style>
  <w:style w:type="paragraph" w:customStyle="1" w:styleId="jqplot-highlighter-tooltip">
    <w:name w:val="jqplot-highlighter-tooltip"/>
    <w:basedOn w:val="Normal"/>
    <w:pPr>
      <w:pBdr>
        <w:top w:val="single" w:sz="12" w:space="2" w:color="auto"/>
        <w:left w:val="single" w:sz="12" w:space="2" w:color="auto"/>
        <w:bottom w:val="single" w:sz="12" w:space="2" w:color="auto"/>
        <w:right w:val="single" w:sz="12" w:space="2" w:color="auto"/>
      </w:pBdr>
      <w:shd w:val="clear" w:color="auto" w:fill="FFFFFF"/>
      <w:spacing w:before="100" w:beforeAutospacing="1" w:after="100" w:afterAutospacing="1"/>
    </w:pPr>
    <w:rPr>
      <w:rFonts w:ascii="Lucida Sans Unicode" w:hAnsi="Lucida Sans Unicode" w:cs="Lucida Sans Unicode"/>
      <w:color w:val="333333"/>
      <w:sz w:val="18"/>
      <w:szCs w:val="18"/>
    </w:rPr>
  </w:style>
  <w:style w:type="paragraph" w:customStyle="1" w:styleId="jqplot-canvasoverlay-tooltip">
    <w:name w:val="jqplot-canvasoverlay-tooltip"/>
    <w:basedOn w:val="Normal"/>
    <w:pPr>
      <w:pBdr>
        <w:top w:val="single" w:sz="12" w:space="2" w:color="auto"/>
        <w:left w:val="single" w:sz="12" w:space="2" w:color="auto"/>
        <w:bottom w:val="single" w:sz="12" w:space="2" w:color="auto"/>
        <w:right w:val="single" w:sz="12" w:space="2" w:color="auto"/>
      </w:pBdr>
      <w:shd w:val="clear" w:color="auto" w:fill="FFFFFF"/>
      <w:spacing w:before="100" w:beforeAutospacing="1" w:after="100" w:afterAutospacing="1"/>
    </w:pPr>
    <w:rPr>
      <w:rFonts w:ascii="Lucida Sans Unicode" w:hAnsi="Lucida Sans Unicode" w:cs="Lucida Sans Unicode"/>
      <w:color w:val="64377C"/>
      <w:sz w:val="18"/>
      <w:szCs w:val="18"/>
    </w:rPr>
  </w:style>
  <w:style w:type="paragraph" w:customStyle="1" w:styleId="jqplot-canvasoverlay-linename">
    <w:name w:val="jqplot-canvasoverlay-linename"/>
    <w:basedOn w:val="Normal"/>
    <w:pPr>
      <w:spacing w:before="100" w:beforeAutospacing="1" w:after="100" w:afterAutospacing="1"/>
      <w:ind w:left="75"/>
    </w:pPr>
    <w:rPr>
      <w:color w:val="000000"/>
    </w:rPr>
  </w:style>
  <w:style w:type="paragraph" w:customStyle="1" w:styleId="jqplot-point-label">
    <w:name w:val="jqplot-point-label"/>
    <w:basedOn w:val="Normal"/>
    <w:pPr>
      <w:spacing w:before="100" w:beforeAutospacing="1" w:after="100" w:afterAutospacing="1"/>
    </w:pPr>
    <w:rPr>
      <w:sz w:val="18"/>
      <w:szCs w:val="18"/>
    </w:rPr>
  </w:style>
  <w:style w:type="paragraph" w:customStyle="1" w:styleId="jqplot-error">
    <w:name w:val="jqplot-error"/>
    <w:basedOn w:val="Normal"/>
    <w:pPr>
      <w:spacing w:before="100" w:beforeAutospacing="1" w:after="100" w:afterAutospacing="1"/>
      <w:jc w:val="center"/>
    </w:pPr>
  </w:style>
  <w:style w:type="paragraph" w:customStyle="1" w:styleId="jqplot-radar-ticks">
    <w:name w:val="jqplot-radar-ticks"/>
    <w:basedOn w:val="Normal"/>
    <w:pPr>
      <w:spacing w:before="100" w:beforeAutospacing="1" w:after="100" w:afterAutospacing="1"/>
    </w:pPr>
  </w:style>
  <w:style w:type="paragraph" w:customStyle="1" w:styleId="jqplot-table-legend-body">
    <w:name w:val="jqplot-table-legend-body"/>
    <w:basedOn w:val="Normal"/>
    <w:pPr>
      <w:spacing w:before="100" w:beforeAutospacing="1" w:after="100" w:afterAutospacing="1"/>
    </w:pPr>
  </w:style>
  <w:style w:type="character" w:customStyle="1" w:styleId="sortarrow">
    <w:name w:val="sortarrow"/>
    <w:basedOn w:val="DefaultParagraphFont"/>
  </w:style>
  <w:style w:type="character" w:customStyle="1" w:styleId="sortarrow1">
    <w:name w:val="sortarrow1"/>
    <w:basedOn w:val="DefaultParagraphFont"/>
    <w:rPr>
      <w:sz w:val="20"/>
      <w:szCs w:val="20"/>
    </w:rPr>
  </w:style>
  <w:style w:type="paragraph" w:customStyle="1" w:styleId="jqplot-table-legend-body1">
    <w:name w:val="jqplot-table-legend-body1"/>
    <w:basedOn w:val="Normal"/>
    <w:pPr>
      <w:spacing w:before="100" w:beforeAutospacing="1" w:after="100" w:afterAutospacing="1"/>
    </w:pPr>
  </w:style>
  <w:style w:type="character" w:customStyle="1" w:styleId="htmlmarkup">
    <w:name w:val="htmlmarkup"/>
    <w:basedOn w:val="DefaultParagraphFont"/>
  </w:style>
  <w:style w:type="paragraph" w:styleId="BalloonText">
    <w:name w:val="Balloon Text"/>
    <w:basedOn w:val="Normal"/>
    <w:link w:val="BalloonTextChar"/>
    <w:uiPriority w:val="99"/>
    <w:semiHidden/>
    <w:unhideWhenUsed/>
    <w:rsid w:val="005E2DBA"/>
    <w:rPr>
      <w:rFonts w:ascii="Tahoma" w:hAnsi="Tahoma" w:cs="Tahoma"/>
      <w:sz w:val="16"/>
      <w:szCs w:val="16"/>
    </w:rPr>
  </w:style>
  <w:style w:type="character" w:customStyle="1" w:styleId="BalloonTextChar">
    <w:name w:val="Balloon Text Char"/>
    <w:basedOn w:val="DefaultParagraphFont"/>
    <w:link w:val="BalloonText"/>
    <w:uiPriority w:val="99"/>
    <w:semiHidden/>
    <w:rsid w:val="005E2DB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0058">
      <w:bodyDiv w:val="1"/>
      <w:marLeft w:val="0"/>
      <w:marRight w:val="0"/>
      <w:marTop w:val="75"/>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3BEE-B7BB-4C02-9356-5A665D90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E26B93C7</Template>
  <TotalTime>226</TotalTime>
  <Pages>4</Pages>
  <Words>930</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Scrutiny Report by Objective</vt:lpstr>
    </vt:vector>
  </TitlesOfParts>
  <Company>Oxford City Council</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by Objective</dc:title>
  <dc:creator>gwigham</dc:creator>
  <cp:lastModifiedBy>srobinson</cp:lastModifiedBy>
  <cp:revision>7</cp:revision>
  <dcterms:created xsi:type="dcterms:W3CDTF">2019-02-05T16:16:00Z</dcterms:created>
  <dcterms:modified xsi:type="dcterms:W3CDTF">2019-02-19T16:41:00Z</dcterms:modified>
</cp:coreProperties>
</file>